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F5" w:rsidRPr="00183007" w:rsidRDefault="00183007">
      <w:pPr>
        <w:pStyle w:val="DecHTitle"/>
      </w:pPr>
      <w:r w:rsidRPr="00183007">
        <w:rPr>
          <w:szCs w:val="24"/>
        </w:rPr>
        <w:t>DEUXIÈME SECTION</w:t>
      </w:r>
    </w:p>
    <w:p w:rsidR="003C36F5" w:rsidRDefault="0031317E" w:rsidP="00DC44E5">
      <w:pPr>
        <w:pStyle w:val="DecHTitle"/>
      </w:pPr>
      <w:r w:rsidRPr="00183007">
        <w:t>DÉCISION</w:t>
      </w:r>
    </w:p>
    <w:p w:rsidR="008E63DB" w:rsidRPr="00183007" w:rsidRDefault="00183007" w:rsidP="00DD2564">
      <w:pPr>
        <w:pStyle w:val="DecHCase"/>
      </w:pPr>
      <w:r w:rsidRPr="00183007">
        <w:t>Requête n</w:t>
      </w:r>
      <w:r w:rsidRPr="00183007">
        <w:rPr>
          <w:vertAlign w:val="superscript"/>
        </w:rPr>
        <w:t>o</w:t>
      </w:r>
      <w:r w:rsidR="000776E7" w:rsidRPr="00183007">
        <w:t xml:space="preserve"> </w:t>
      </w:r>
      <w:r w:rsidRPr="00183007">
        <w:t>3314/09</w:t>
      </w:r>
      <w:r w:rsidR="000776E7" w:rsidRPr="00183007">
        <w:br/>
      </w:r>
      <w:r w:rsidRPr="00183007">
        <w:t>CARB</w:t>
      </w:r>
      <w:r w:rsidR="00D92847">
        <w:t>É</w:t>
      </w:r>
      <w:r w:rsidRPr="00183007">
        <w:t xml:space="preserve"> </w:t>
      </w:r>
      <w:r w:rsidR="00A94C68" w:rsidRPr="00183007">
        <w:t xml:space="preserve">contre </w:t>
      </w:r>
      <w:r w:rsidRPr="00183007">
        <w:t>l</w:t>
      </w:r>
      <w:r w:rsidR="003C4DF3">
        <w:t>’</w:t>
      </w:r>
      <w:r w:rsidRPr="00183007">
        <w:t>Italie</w:t>
      </w:r>
    </w:p>
    <w:p w:rsidR="00183007" w:rsidRPr="00183007" w:rsidRDefault="00183007" w:rsidP="00183007">
      <w:pPr>
        <w:pStyle w:val="JuPara"/>
      </w:pPr>
      <w:r w:rsidRPr="00183007">
        <w:t>La Cour européenne des droits de l</w:t>
      </w:r>
      <w:r w:rsidR="003C4DF3">
        <w:t>’</w:t>
      </w:r>
      <w:r w:rsidRPr="00183007">
        <w:t>homme (deuxième section), siégeant le 14 mai 2013 en une Chambre composée de :</w:t>
      </w:r>
    </w:p>
    <w:p w:rsidR="00183007" w:rsidRPr="00183007" w:rsidRDefault="00183007" w:rsidP="008A271A">
      <w:pPr>
        <w:pStyle w:val="JuJudges"/>
      </w:pPr>
      <w:r w:rsidRPr="00183007">
        <w:tab/>
        <w:t>Danutė Jočienė,</w:t>
      </w:r>
      <w:r w:rsidRPr="00183007">
        <w:rPr>
          <w:i/>
        </w:rPr>
        <w:t xml:space="preserve"> présidente,</w:t>
      </w:r>
      <w:r w:rsidRPr="00183007">
        <w:rPr>
          <w:i/>
        </w:rPr>
        <w:br/>
      </w:r>
      <w:r w:rsidRPr="00183007">
        <w:tab/>
        <w:t>Guido Raimondi,</w:t>
      </w:r>
      <w:r w:rsidRPr="00183007">
        <w:rPr>
          <w:i/>
        </w:rPr>
        <w:br/>
      </w:r>
      <w:r w:rsidRPr="00183007">
        <w:tab/>
        <w:t>Dragoljub Popović,</w:t>
      </w:r>
      <w:r w:rsidRPr="00183007">
        <w:rPr>
          <w:i/>
        </w:rPr>
        <w:br/>
      </w:r>
      <w:r w:rsidRPr="00183007">
        <w:tab/>
        <w:t>András Sajó,</w:t>
      </w:r>
      <w:r w:rsidRPr="00183007">
        <w:rPr>
          <w:i/>
        </w:rPr>
        <w:br/>
      </w:r>
      <w:r w:rsidRPr="00183007">
        <w:tab/>
        <w:t>Işıl Karakaş,</w:t>
      </w:r>
      <w:r w:rsidRPr="00183007">
        <w:rPr>
          <w:i/>
        </w:rPr>
        <w:br/>
      </w:r>
      <w:r w:rsidRPr="00183007">
        <w:tab/>
        <w:t>Nebojša Vučinić,</w:t>
      </w:r>
      <w:r w:rsidRPr="00183007">
        <w:rPr>
          <w:i/>
        </w:rPr>
        <w:br/>
      </w:r>
      <w:r w:rsidRPr="00183007">
        <w:tab/>
        <w:t>Paulo Pinto de Albuquerque,</w:t>
      </w:r>
      <w:r w:rsidRPr="00183007">
        <w:rPr>
          <w:i/>
        </w:rPr>
        <w:t xml:space="preserve"> juges,</w:t>
      </w:r>
      <w:r w:rsidRPr="00183007">
        <w:br/>
        <w:t xml:space="preserve">et de Stanley Naismith, </w:t>
      </w:r>
      <w:r w:rsidRPr="00183007">
        <w:rPr>
          <w:i/>
        </w:rPr>
        <w:t>greffier</w:t>
      </w:r>
      <w:r w:rsidRPr="00183007">
        <w:rPr>
          <w:i/>
          <w:iCs/>
        </w:rPr>
        <w:t xml:space="preserve"> d</w:t>
      </w:r>
      <w:r w:rsidRPr="00183007">
        <w:rPr>
          <w:i/>
        </w:rPr>
        <w:t>e section,</w:t>
      </w:r>
    </w:p>
    <w:p w:rsidR="00183007" w:rsidRPr="00183007" w:rsidRDefault="00183007" w:rsidP="00183007">
      <w:pPr>
        <w:pStyle w:val="JuPara"/>
      </w:pPr>
      <w:r w:rsidRPr="00183007">
        <w:t>Vu la requête susmentionnée introduite le 29 octobre 2008,</w:t>
      </w:r>
    </w:p>
    <w:p w:rsidR="00183007" w:rsidRDefault="00183007" w:rsidP="00183007">
      <w:pPr>
        <w:pStyle w:val="JuPara"/>
      </w:pPr>
      <w:r w:rsidRPr="00183007">
        <w:t>Après en avoir délibéré, rend la décision suivante :</w:t>
      </w:r>
    </w:p>
    <w:p w:rsidR="00183007" w:rsidRPr="00183007" w:rsidRDefault="00183007" w:rsidP="00183007">
      <w:pPr>
        <w:pStyle w:val="JuHHead"/>
      </w:pPr>
      <w:r w:rsidRPr="00183007">
        <w:t>EN FAIT</w:t>
      </w:r>
    </w:p>
    <w:p w:rsidR="00183007" w:rsidRPr="00183007" w:rsidRDefault="00183007" w:rsidP="00183007">
      <w:pPr>
        <w:pStyle w:val="JuPara"/>
      </w:pPr>
      <w:r w:rsidRPr="00183007">
        <w:t>Les requérants, M</w:t>
      </w:r>
      <w:r w:rsidRPr="00183007">
        <w:rPr>
          <w:vertAlign w:val="superscript"/>
        </w:rPr>
        <w:t>me</w:t>
      </w:r>
      <w:r w:rsidRPr="00183007">
        <w:t xml:space="preserve"> Concetta Carbé et M. Natale Carbé, sont des ressortissants italiens nés respectivement en 1961 et en 1931 et résidant à Avola (Syracuse). Ils sont représentés devant la Cour par M</w:t>
      </w:r>
      <w:r w:rsidRPr="00183007">
        <w:rPr>
          <w:vertAlign w:val="superscript"/>
        </w:rPr>
        <w:t>e</w:t>
      </w:r>
      <w:r w:rsidRPr="00183007">
        <w:t> Francesco Magro, avocat à Avola.</w:t>
      </w:r>
    </w:p>
    <w:p w:rsidR="00183007" w:rsidRPr="00183007" w:rsidRDefault="00183007" w:rsidP="00183007">
      <w:pPr>
        <w:pStyle w:val="JuHA"/>
        <w:outlineLvl w:val="0"/>
      </w:pPr>
      <w:r w:rsidRPr="00183007">
        <w:t>Les circonstances de l</w:t>
      </w:r>
      <w:r w:rsidR="003C4DF3">
        <w:t>’</w:t>
      </w:r>
      <w:r w:rsidRPr="00183007">
        <w:t>espèce</w:t>
      </w:r>
    </w:p>
    <w:p w:rsidR="00183007" w:rsidRPr="00183007" w:rsidRDefault="00183007" w:rsidP="00183007">
      <w:pPr>
        <w:pStyle w:val="JuPara"/>
      </w:pPr>
      <w:r w:rsidRPr="00183007">
        <w:t>1.  Les faits de la cause, tels qu</w:t>
      </w:r>
      <w:r w:rsidR="003C4DF3">
        <w:t>’</w:t>
      </w:r>
      <w:r w:rsidRPr="00183007">
        <w:t>ils ont été exposés par les requérants, peuvent se résumer comme suit.</w:t>
      </w:r>
    </w:p>
    <w:p w:rsidR="00183007" w:rsidRPr="003C4DF3" w:rsidRDefault="00183007" w:rsidP="003C4DF3">
      <w:pPr>
        <w:pStyle w:val="JuH1"/>
        <w:rPr>
          <w:rStyle w:val="s6b621b36"/>
        </w:rPr>
      </w:pPr>
      <w:r w:rsidRPr="003C4DF3">
        <w:rPr>
          <w:rStyle w:val="s6b621b36"/>
        </w:rPr>
        <w:t>1.</w:t>
      </w:r>
      <w:r w:rsidR="003C4DF3" w:rsidRPr="003C4DF3">
        <w:rPr>
          <w:rStyle w:val="s6b621b36"/>
        </w:rPr>
        <w:t>  </w:t>
      </w:r>
      <w:r w:rsidRPr="003C4DF3">
        <w:rPr>
          <w:rStyle w:val="s6b621b36"/>
        </w:rPr>
        <w:t>La procédure de faillite</w:t>
      </w:r>
    </w:p>
    <w:p w:rsidR="00183007" w:rsidRPr="00183007" w:rsidRDefault="00183007" w:rsidP="00183007">
      <w:pPr>
        <w:pStyle w:val="JuPara"/>
      </w:pPr>
      <w:r w:rsidRPr="00183007">
        <w:rPr>
          <w:rStyle w:val="sb8d990e2"/>
        </w:rPr>
        <w:t>2.  Par un jugement déposé le 27 juin 1989, le tribunal de Syracuse déclara la faillite de la société C. S.n.c. ainsi que la faillite personnelle des requérants, en tant qu</w:t>
      </w:r>
      <w:r w:rsidR="003C4DF3">
        <w:rPr>
          <w:rStyle w:val="sb8d990e2"/>
        </w:rPr>
        <w:t>’</w:t>
      </w:r>
      <w:r w:rsidRPr="00183007">
        <w:rPr>
          <w:rStyle w:val="sb8d990e2"/>
        </w:rPr>
        <w:t>associés de celle-ci.</w:t>
      </w:r>
    </w:p>
    <w:p w:rsidR="00183007" w:rsidRPr="00183007" w:rsidRDefault="00183007" w:rsidP="00183007">
      <w:pPr>
        <w:pStyle w:val="JuPara"/>
      </w:pPr>
      <w:r w:rsidRPr="00183007">
        <w:rPr>
          <w:rStyle w:val="sb8d990e2"/>
        </w:rPr>
        <w:t>3.  Le 20 juillet 1989, les requérants firent opposition à leur mise en faillite. Cette procédure se termina le 19 janvier 1994 par un jugement de rejet.</w:t>
      </w:r>
    </w:p>
    <w:p w:rsidR="00183007" w:rsidRPr="00183007" w:rsidRDefault="00183007" w:rsidP="00183007">
      <w:pPr>
        <w:pStyle w:val="JuPara"/>
      </w:pPr>
      <w:r w:rsidRPr="00183007">
        <w:rPr>
          <w:rStyle w:val="sb8d990e2"/>
        </w:rPr>
        <w:t>4.  A une date non précisée de 1989, l</w:t>
      </w:r>
      <w:r w:rsidR="003C4DF3">
        <w:rPr>
          <w:rStyle w:val="sb8d990e2"/>
        </w:rPr>
        <w:t>’</w:t>
      </w:r>
      <w:r w:rsidRPr="00183007">
        <w:rPr>
          <w:rStyle w:val="sb8d990e2"/>
        </w:rPr>
        <w:t>un des créanciers introduisit un recours en opposition au passif de la faillite. Cette affaire se termina par un jugement déposé le 18 juillet 1999.</w:t>
      </w:r>
    </w:p>
    <w:p w:rsidR="00183007" w:rsidRPr="00183007" w:rsidRDefault="00183007" w:rsidP="00183007">
      <w:pPr>
        <w:pStyle w:val="JuPara"/>
      </w:pPr>
      <w:r w:rsidRPr="00183007">
        <w:rPr>
          <w:rStyle w:val="sb8d990e2"/>
        </w:rPr>
        <w:t>5.  L</w:t>
      </w:r>
      <w:r w:rsidR="003C4DF3">
        <w:rPr>
          <w:rStyle w:val="sb8d990e2"/>
        </w:rPr>
        <w:t>’</w:t>
      </w:r>
      <w:r w:rsidRPr="00183007">
        <w:rPr>
          <w:rStyle w:val="sb8d990e2"/>
        </w:rPr>
        <w:t>examen des demandes tardives d</w:t>
      </w:r>
      <w:r w:rsidR="003C4DF3">
        <w:rPr>
          <w:rStyle w:val="sb8d990e2"/>
        </w:rPr>
        <w:t>’</w:t>
      </w:r>
      <w:r w:rsidRPr="00183007">
        <w:rPr>
          <w:rStyle w:val="sb8d990e2"/>
        </w:rPr>
        <w:t>admission au passif de la faillite eut lieu entre 1990 et 1997.</w:t>
      </w:r>
    </w:p>
    <w:p w:rsidR="00183007" w:rsidRPr="00183007" w:rsidRDefault="00183007" w:rsidP="00183007">
      <w:pPr>
        <w:pStyle w:val="JuPara"/>
      </w:pPr>
      <w:r w:rsidRPr="00183007">
        <w:rPr>
          <w:rStyle w:val="sb8d990e2"/>
        </w:rPr>
        <w:t>6.  Trois experts furent nommés au courant de la procédure afin d</w:t>
      </w:r>
      <w:r w:rsidR="003C4DF3">
        <w:rPr>
          <w:rStyle w:val="sb8d990e2"/>
        </w:rPr>
        <w:t>’</w:t>
      </w:r>
      <w:r w:rsidRPr="00183007">
        <w:rPr>
          <w:rStyle w:val="sb8d990e2"/>
        </w:rPr>
        <w:t>évaluer les biens faisant partie de l</w:t>
      </w:r>
      <w:r w:rsidR="003C4DF3">
        <w:rPr>
          <w:rStyle w:val="sb8d990e2"/>
        </w:rPr>
        <w:t>’</w:t>
      </w:r>
      <w:r w:rsidRPr="00183007">
        <w:rPr>
          <w:rStyle w:val="sb8d990e2"/>
        </w:rPr>
        <w:t>actif.</w:t>
      </w:r>
    </w:p>
    <w:p w:rsidR="00183007" w:rsidRPr="00183007" w:rsidRDefault="00183007" w:rsidP="00183007">
      <w:pPr>
        <w:pStyle w:val="JuPara"/>
        <w:rPr>
          <w:rStyle w:val="sb8d990e2"/>
        </w:rPr>
      </w:pPr>
      <w:r w:rsidRPr="00183007">
        <w:rPr>
          <w:rStyle w:val="sb8d990e2"/>
        </w:rPr>
        <w:t>7.  Selon les informations fournies par les requérants le 17</w:t>
      </w:r>
      <w:r w:rsidR="00BB46F3">
        <w:rPr>
          <w:rStyle w:val="sb8d990e2"/>
        </w:rPr>
        <w:t> </w:t>
      </w:r>
      <w:r w:rsidRPr="00183007">
        <w:rPr>
          <w:rStyle w:val="sb8d990e2"/>
        </w:rPr>
        <w:t>décembre</w:t>
      </w:r>
      <w:r w:rsidR="00BB46F3">
        <w:rPr>
          <w:rStyle w:val="sb8d990e2"/>
        </w:rPr>
        <w:t> </w:t>
      </w:r>
      <w:r w:rsidRPr="00183007">
        <w:rPr>
          <w:rStyle w:val="sb8d990e2"/>
        </w:rPr>
        <w:t>2012, la procédure était à cette date encore pendante.</w:t>
      </w:r>
    </w:p>
    <w:p w:rsidR="00183007" w:rsidRPr="003C4DF3" w:rsidRDefault="00183007" w:rsidP="008A271A">
      <w:pPr>
        <w:pStyle w:val="JuH1"/>
        <w:rPr>
          <w:rStyle w:val="s6b621b36"/>
        </w:rPr>
      </w:pPr>
      <w:r w:rsidRPr="003C4DF3">
        <w:rPr>
          <w:rStyle w:val="s6b621b36"/>
        </w:rPr>
        <w:t>2.</w:t>
      </w:r>
      <w:r w:rsidR="003C4DF3">
        <w:rPr>
          <w:rStyle w:val="s6b621b36"/>
        </w:rPr>
        <w:t>  </w:t>
      </w:r>
      <w:r w:rsidRPr="003C4DF3">
        <w:rPr>
          <w:rStyle w:val="s6b621b36"/>
        </w:rPr>
        <w:t>La procédure introduite conformément à la « loi Pinto »</w:t>
      </w:r>
    </w:p>
    <w:p w:rsidR="00183007" w:rsidRPr="00183007" w:rsidRDefault="00183007" w:rsidP="00183007">
      <w:pPr>
        <w:pStyle w:val="JuPara"/>
        <w:rPr>
          <w:rStyle w:val="sb8d990e2"/>
        </w:rPr>
      </w:pPr>
      <w:r w:rsidRPr="00183007">
        <w:rPr>
          <w:rStyle w:val="sb8d990e2"/>
        </w:rPr>
        <w:t>8.  Le requérants introduisirent séparément deux recours devant la cour d</w:t>
      </w:r>
      <w:r w:rsidR="003C4DF3">
        <w:rPr>
          <w:rStyle w:val="sb8d990e2"/>
        </w:rPr>
        <w:t>’</w:t>
      </w:r>
      <w:r w:rsidRPr="00183007">
        <w:rPr>
          <w:rStyle w:val="sb8d990e2"/>
        </w:rPr>
        <w:t>appel de Messine au sens de la « loi Pinto », se plaignant de la durée de la procédure et des incapacités dérivant de leur mise en faillite.</w:t>
      </w:r>
    </w:p>
    <w:p w:rsidR="00183007" w:rsidRPr="00183007" w:rsidRDefault="00183007" w:rsidP="00183007">
      <w:pPr>
        <w:pStyle w:val="JuPara"/>
        <w:rPr>
          <w:rStyle w:val="sb8d990e2"/>
        </w:rPr>
      </w:pPr>
      <w:r w:rsidRPr="00183007">
        <w:rPr>
          <w:rStyle w:val="sb8d990e2"/>
        </w:rPr>
        <w:t>9.  E</w:t>
      </w:r>
      <w:r w:rsidRPr="00183007">
        <w:rPr>
          <w:rFonts w:cs="Arial"/>
        </w:rPr>
        <w:t>valuant la procédure à la date de ses décisions, à savoir le 20</w:t>
      </w:r>
      <w:r w:rsidR="00BB46F3">
        <w:rPr>
          <w:rFonts w:cs="Arial"/>
        </w:rPr>
        <w:t> </w:t>
      </w:r>
      <w:r w:rsidRPr="00183007">
        <w:rPr>
          <w:rFonts w:cs="Arial"/>
        </w:rPr>
        <w:t>juillet</w:t>
      </w:r>
      <w:r w:rsidR="00BB46F3">
        <w:rPr>
          <w:rFonts w:cs="Arial"/>
        </w:rPr>
        <w:t> </w:t>
      </w:r>
      <w:r w:rsidRPr="00183007">
        <w:rPr>
          <w:rFonts w:cs="Arial"/>
        </w:rPr>
        <w:t>2004 pour M</w:t>
      </w:r>
      <w:r w:rsidRPr="00183007">
        <w:rPr>
          <w:rFonts w:cs="Arial"/>
          <w:vertAlign w:val="superscript"/>
        </w:rPr>
        <w:t>me</w:t>
      </w:r>
      <w:r w:rsidRPr="00183007">
        <w:rPr>
          <w:rFonts w:cs="Arial"/>
        </w:rPr>
        <w:t xml:space="preserve"> Concetta Carbé et le 20 octobre 2004 pour M.</w:t>
      </w:r>
      <w:r w:rsidR="003C4DF3">
        <w:rPr>
          <w:rFonts w:cs="Arial"/>
        </w:rPr>
        <w:t> </w:t>
      </w:r>
      <w:r w:rsidRPr="00183007">
        <w:rPr>
          <w:rFonts w:cs="Arial"/>
        </w:rPr>
        <w:t xml:space="preserve">Natale Carbé, </w:t>
      </w:r>
      <w:r w:rsidRPr="00183007">
        <w:rPr>
          <w:rStyle w:val="sb8d990e2"/>
        </w:rPr>
        <w:t>la cour d</w:t>
      </w:r>
      <w:r w:rsidR="003C4DF3">
        <w:rPr>
          <w:rStyle w:val="sb8d990e2"/>
        </w:rPr>
        <w:t>’</w:t>
      </w:r>
      <w:r w:rsidRPr="00183007">
        <w:rPr>
          <w:rStyle w:val="sb8d990e2"/>
        </w:rPr>
        <w:t>appel accorda à chacun des requérants 10</w:t>
      </w:r>
      <w:r w:rsidR="003C4DF3">
        <w:rPr>
          <w:rStyle w:val="sb8d990e2"/>
        </w:rPr>
        <w:t> </w:t>
      </w:r>
      <w:r w:rsidRPr="00183007">
        <w:rPr>
          <w:rStyle w:val="sb8d990e2"/>
        </w:rPr>
        <w:t>000</w:t>
      </w:r>
      <w:r w:rsidR="003C4DF3">
        <w:rPr>
          <w:rStyle w:val="sb8d990e2"/>
        </w:rPr>
        <w:t> </w:t>
      </w:r>
      <w:r w:rsidRPr="00183007">
        <w:rPr>
          <w:rStyle w:val="sb8d990e2"/>
        </w:rPr>
        <w:t>EUR à titre de dédommagement moral.</w:t>
      </w:r>
    </w:p>
    <w:p w:rsidR="00183007" w:rsidRPr="00183007" w:rsidRDefault="00183007" w:rsidP="00183007">
      <w:pPr>
        <w:pStyle w:val="JuPara"/>
        <w:rPr>
          <w:rStyle w:val="sb8d990e2"/>
        </w:rPr>
      </w:pPr>
      <w:r w:rsidRPr="00183007">
        <w:rPr>
          <w:rStyle w:val="sb8d990e2"/>
        </w:rPr>
        <w:t>10.  Par deux arrêts déposés les 4 et 30 avril 2008 (quant à M.</w:t>
      </w:r>
      <w:r w:rsidR="00BB46F3">
        <w:rPr>
          <w:rStyle w:val="sb8d990e2"/>
        </w:rPr>
        <w:t> </w:t>
      </w:r>
      <w:r w:rsidRPr="00183007">
        <w:rPr>
          <w:rStyle w:val="sb8d990e2"/>
        </w:rPr>
        <w:t>Natale</w:t>
      </w:r>
      <w:r w:rsidR="00BB46F3">
        <w:rPr>
          <w:rStyle w:val="sb8d990e2"/>
        </w:rPr>
        <w:t> </w:t>
      </w:r>
      <w:r w:rsidRPr="00183007">
        <w:rPr>
          <w:rStyle w:val="sb8d990e2"/>
        </w:rPr>
        <w:t>Carbé et M</w:t>
      </w:r>
      <w:r w:rsidRPr="00183007">
        <w:rPr>
          <w:rStyle w:val="sb8d990e2"/>
          <w:vertAlign w:val="superscript"/>
        </w:rPr>
        <w:t>me</w:t>
      </w:r>
      <w:r w:rsidRPr="00183007">
        <w:rPr>
          <w:rStyle w:val="sb8d990e2"/>
        </w:rPr>
        <w:t xml:space="preserve"> Concetta Carbé respectivement), les requérants furent déboutés de leur pourvoi.</w:t>
      </w:r>
    </w:p>
    <w:p w:rsidR="00183007" w:rsidRPr="00183007" w:rsidRDefault="00183007" w:rsidP="00183007">
      <w:pPr>
        <w:pStyle w:val="JuHHead"/>
      </w:pPr>
      <w:r w:rsidRPr="00183007">
        <w:t>GRIEFS</w:t>
      </w:r>
    </w:p>
    <w:p w:rsidR="00183007" w:rsidRPr="00183007" w:rsidRDefault="00183007" w:rsidP="00183007">
      <w:pPr>
        <w:pStyle w:val="JuPara"/>
      </w:pPr>
      <w:r w:rsidRPr="00183007">
        <w:t>11.  Invoquant l</w:t>
      </w:r>
      <w:r w:rsidR="003C4DF3">
        <w:t>’</w:t>
      </w:r>
      <w:r w:rsidRPr="00183007">
        <w:t>article 6 § 1 de la Convention, les requérants se plaignent de la durée de la procédure. Invoquant l</w:t>
      </w:r>
      <w:r w:rsidR="003C4DF3">
        <w:t>’</w:t>
      </w:r>
      <w:r w:rsidRPr="00183007">
        <w:t>article 13 de la Convention, ils dénoncent le fait de ne pas disposer d</w:t>
      </w:r>
      <w:r w:rsidR="003C4DF3">
        <w:t>’</w:t>
      </w:r>
      <w:r w:rsidRPr="00183007">
        <w:t>un recours effectif pour se plaindre de la durée de la procédure.</w:t>
      </w:r>
    </w:p>
    <w:p w:rsidR="00183007" w:rsidRPr="00183007" w:rsidRDefault="00183007" w:rsidP="00183007">
      <w:pPr>
        <w:pStyle w:val="JuPara"/>
      </w:pPr>
      <w:r w:rsidRPr="00183007">
        <w:t>12.  Les requérants invoquent également les articles 17 et 53 de la Convention, sans toutefois étayer ces griefs.</w:t>
      </w:r>
    </w:p>
    <w:p w:rsidR="00183007" w:rsidRPr="00183007" w:rsidRDefault="00183007" w:rsidP="00183007">
      <w:pPr>
        <w:pStyle w:val="JuHHead"/>
      </w:pPr>
      <w:r w:rsidRPr="00183007">
        <w:t>EN DROIT</w:t>
      </w:r>
    </w:p>
    <w:p w:rsidR="00183007" w:rsidRPr="00183007" w:rsidRDefault="00183007" w:rsidP="00183007">
      <w:pPr>
        <w:pStyle w:val="JuPara"/>
      </w:pPr>
      <w:r w:rsidRPr="00183007">
        <w:t>13.  Les requérants se plaignent de la violation des articles 6 § 1 (durée de la procédure) et 13 de la Convention, ainsi libellés dans leurs parties pertinentes :</w:t>
      </w:r>
    </w:p>
    <w:p w:rsidR="00183007" w:rsidRPr="00183007" w:rsidRDefault="00183007" w:rsidP="008A271A">
      <w:pPr>
        <w:pStyle w:val="JuHArticle"/>
      </w:pPr>
      <w:r w:rsidRPr="00183007">
        <w:t>Article 6 § 1 de la Convention</w:t>
      </w:r>
    </w:p>
    <w:p w:rsidR="00183007" w:rsidRPr="00183007" w:rsidRDefault="00183007" w:rsidP="00183007">
      <w:pPr>
        <w:pStyle w:val="JuQuot"/>
      </w:pPr>
      <w:r w:rsidRPr="00183007">
        <w:t>« Toute personne a droit à ce que sa cause soit entendue (...) dans un délai raisonnable, par un tribunal (...), qui décidera (...) des contestations sur ses droits et obligations de caractère civil (...) »</w:t>
      </w:r>
    </w:p>
    <w:p w:rsidR="00183007" w:rsidRPr="00183007" w:rsidRDefault="00183007" w:rsidP="008A271A">
      <w:pPr>
        <w:pStyle w:val="JuHArticle"/>
      </w:pPr>
      <w:r w:rsidRPr="00183007">
        <w:t>Article 13 de la Convention</w:t>
      </w:r>
    </w:p>
    <w:p w:rsidR="00183007" w:rsidRPr="00183007" w:rsidRDefault="00183007" w:rsidP="00183007">
      <w:pPr>
        <w:pStyle w:val="JuQuot"/>
      </w:pPr>
      <w:r w:rsidRPr="00183007">
        <w:t>« Toute personne dont les droits et libertés reconnus dans la (...) Convention ont été violés, a droit à l</w:t>
      </w:r>
      <w:r w:rsidR="003C4DF3">
        <w:t>’</w:t>
      </w:r>
      <w:r w:rsidRPr="00183007">
        <w:t>octroi d</w:t>
      </w:r>
      <w:r w:rsidR="003C4DF3">
        <w:t>’</w:t>
      </w:r>
      <w:r w:rsidRPr="00183007">
        <w:t>un recours effectif devant une instance nationale, alors même que la violation aurait été commise par des personnes agissant dans l</w:t>
      </w:r>
      <w:r w:rsidR="003C4DF3">
        <w:t>’</w:t>
      </w:r>
      <w:r w:rsidRPr="00183007">
        <w:t>exercice de leurs fonctions officielles. »</w:t>
      </w:r>
    </w:p>
    <w:p w:rsidR="00183007" w:rsidRPr="00183007" w:rsidRDefault="00183007" w:rsidP="008A271A">
      <w:pPr>
        <w:pStyle w:val="JuPara"/>
      </w:pPr>
      <w:r w:rsidRPr="008A271A">
        <w:t>14.  La Cour relève d</w:t>
      </w:r>
      <w:r w:rsidR="003C4DF3">
        <w:t>’</w:t>
      </w:r>
      <w:r w:rsidRPr="008A271A">
        <w:t>emblée que, le 23 juin 2009, elle a prononcé un arrêt sur une requête introduite par les requérants portant sur les faits de la présente affaire (requête no 13697/04) et elle a abouti, pour ce qui intéresse le cas présent, aux conclusions suivantes. Quant à M. Natale Carbé, elle a conclu à la violation des articles 1 du Protocole no 1 à la Convention, 8 de la Convention (droit au respect de la correspondance) et 2 du Protocole no 4 à la Convention, quant à la durée des incapacités dérivant de la mise en faillite et 13 de la Convention, quant à l</w:t>
      </w:r>
      <w:r w:rsidR="003C4DF3">
        <w:t>’</w:t>
      </w:r>
      <w:r w:rsidRPr="008A271A">
        <w:t>absence d</w:t>
      </w:r>
      <w:r w:rsidR="003C4DF3">
        <w:t>’</w:t>
      </w:r>
      <w:r w:rsidRPr="008A271A">
        <w:t>un recours effectif</w:t>
      </w:r>
      <w:r w:rsidRPr="00183007">
        <w:t xml:space="preserve"> pour se plaindre de la durée des incapacités dérivant de la mise en faillite. Elle a alloué au requérant 22 000 euros (EUR) à titre de dédommagement moral.</w:t>
      </w:r>
    </w:p>
    <w:p w:rsidR="00183007" w:rsidRDefault="00183007" w:rsidP="008A271A">
      <w:pPr>
        <w:pStyle w:val="JuPara"/>
      </w:pPr>
      <w:r w:rsidRPr="00183007">
        <w:t>15.  Concernant M</w:t>
      </w:r>
      <w:r w:rsidRPr="00183007">
        <w:rPr>
          <w:vertAlign w:val="superscript"/>
        </w:rPr>
        <w:t>me</w:t>
      </w:r>
      <w:r w:rsidRPr="00183007">
        <w:t xml:space="preserve"> Concetta Carbé, la Cour a conclu au non</w:t>
      </w:r>
      <w:r w:rsidR="003C4DF3">
        <w:noBreakHyphen/>
      </w:r>
      <w:r w:rsidRPr="00183007">
        <w:t>épuisement des voies de recours internes pour le grief tiré de la durée des incapacités dérivant de la mise en faillite. En effet, dans le cadre de la requête n</w:t>
      </w:r>
      <w:r w:rsidRPr="00183007">
        <w:rPr>
          <w:vertAlign w:val="superscript"/>
        </w:rPr>
        <w:t>o</w:t>
      </w:r>
      <w:r w:rsidRPr="00183007">
        <w:t> 3697/04, la requérante avait omis de signaler à la Cour qu</w:t>
      </w:r>
      <w:r w:rsidR="003C4DF3">
        <w:t>’</w:t>
      </w:r>
      <w:r w:rsidRPr="00183007">
        <w:t>elle avait introduit un recours devant la Cour d</w:t>
      </w:r>
      <w:r w:rsidR="003C4DF3">
        <w:t>’</w:t>
      </w:r>
      <w:r w:rsidRPr="00183007">
        <w:t>appel de Messine et, ensuite, devant la Cour de cassation au sens de la « loi Pinto ».</w:t>
      </w:r>
    </w:p>
    <w:p w:rsidR="00183007" w:rsidRPr="00183007" w:rsidRDefault="00183007" w:rsidP="008A271A">
      <w:pPr>
        <w:pStyle w:val="JuPara"/>
      </w:pPr>
      <w:r w:rsidRPr="00183007">
        <w:t>16.  Pour ce qui est de la présente requête, la Cour estime qu</w:t>
      </w:r>
      <w:r w:rsidR="003C4DF3">
        <w:t>’</w:t>
      </w:r>
      <w:r w:rsidRPr="00183007">
        <w:t>il y a lieu de distinguer entre deux périodes.</w:t>
      </w:r>
    </w:p>
    <w:p w:rsidR="00183007" w:rsidRDefault="00183007" w:rsidP="003C4DF3">
      <w:pPr>
        <w:pStyle w:val="JuH1"/>
      </w:pPr>
      <w:r w:rsidRPr="00183007">
        <w:t>1.</w:t>
      </w:r>
      <w:r w:rsidR="003C4DF3">
        <w:t>  </w:t>
      </w:r>
      <w:r w:rsidRPr="00183007">
        <w:t>Quant à la période prise en considération par les instances internes dans le cadre du recours « Pinto » introduit par les requérants</w:t>
      </w:r>
    </w:p>
    <w:p w:rsidR="00183007" w:rsidRPr="00183007" w:rsidRDefault="00183007" w:rsidP="003C4DF3">
      <w:pPr>
        <w:pStyle w:val="JuHa0"/>
      </w:pPr>
      <w:r w:rsidRPr="00183007">
        <w:t>a)</w:t>
      </w:r>
      <w:r w:rsidR="003C4DF3">
        <w:t>  </w:t>
      </w:r>
      <w:r w:rsidRPr="00183007">
        <w:t>M. Natale Carbé</w:t>
      </w:r>
    </w:p>
    <w:p w:rsidR="00183007" w:rsidRPr="00183007" w:rsidRDefault="00183007" w:rsidP="008A271A">
      <w:pPr>
        <w:pStyle w:val="JuPara"/>
      </w:pPr>
      <w:r w:rsidRPr="00183007">
        <w:t>17.  La Cour relève que le requérant a déjà obtenu 22 000 EUR pour la durée des incapacités dérivant de sa mise en faillite. La Cour observe que le dédommagement moral litigieux a été accordé pour la violation des articles 1 du Protocole n</w:t>
      </w:r>
      <w:r w:rsidRPr="00183007">
        <w:rPr>
          <w:vertAlign w:val="superscript"/>
        </w:rPr>
        <w:t>o</w:t>
      </w:r>
      <w:r w:rsidRPr="00183007">
        <w:t xml:space="preserve"> 1 à la Convention, 8 de la Convention (droit au respect de la correspondance), 2 du Protocole n</w:t>
      </w:r>
      <w:r w:rsidRPr="00183007">
        <w:rPr>
          <w:vertAlign w:val="superscript"/>
        </w:rPr>
        <w:t>o</w:t>
      </w:r>
      <w:r w:rsidRPr="00183007">
        <w:t xml:space="preserve"> 4 à la Convention. Elle relève ensuite que le requérant invoque dans la présente requête les articles 6 § 1 et 13 pour se plaindre de la durée de la procédure de faillite en tant que telle. La Cour ne peut toutefois que constater que ces griefs ne soulèvent aucune question distincte que celle déjà soumise à son examen dans le cadre de la requête n</w:t>
      </w:r>
      <w:r w:rsidRPr="00183007">
        <w:rPr>
          <w:vertAlign w:val="superscript"/>
        </w:rPr>
        <w:t>o</w:t>
      </w:r>
      <w:r w:rsidRPr="00183007">
        <w:t xml:space="preserve"> 13697/04, à savoir celle de la durée de la procédure interne et de ses diverses conséquences.</w:t>
      </w:r>
    </w:p>
    <w:p w:rsidR="00183007" w:rsidRPr="00183007" w:rsidRDefault="00183007" w:rsidP="008A271A">
      <w:pPr>
        <w:pStyle w:val="JuPara"/>
        <w:rPr>
          <w:bCs/>
        </w:rPr>
      </w:pPr>
      <w:r w:rsidRPr="00183007">
        <w:rPr>
          <w:bCs/>
        </w:rPr>
        <w:t>18.  Partant, elle rejette cette partie de la requête comme étant essentiellement la même que les griefs soulevés dans le cadre de la requête n</w:t>
      </w:r>
      <w:r w:rsidRPr="00183007">
        <w:rPr>
          <w:bCs/>
          <w:vertAlign w:val="superscript"/>
        </w:rPr>
        <w:t>o</w:t>
      </w:r>
      <w:r w:rsidRPr="00183007">
        <w:rPr>
          <w:bCs/>
        </w:rPr>
        <w:t xml:space="preserve"> 13697/04, au sens de l</w:t>
      </w:r>
      <w:r w:rsidR="003C4DF3">
        <w:rPr>
          <w:bCs/>
        </w:rPr>
        <w:t>’</w:t>
      </w:r>
      <w:r w:rsidRPr="00183007">
        <w:rPr>
          <w:bCs/>
        </w:rPr>
        <w:t>article 35 § 2 b) de la Convention.</w:t>
      </w:r>
    </w:p>
    <w:p w:rsidR="00183007" w:rsidRPr="003C4DF3" w:rsidRDefault="00183007" w:rsidP="003C4DF3">
      <w:pPr>
        <w:pStyle w:val="JuHa0"/>
      </w:pPr>
      <w:r w:rsidRPr="003C4DF3">
        <w:t>b)</w:t>
      </w:r>
      <w:r w:rsidR="003C4DF3">
        <w:t>  </w:t>
      </w:r>
      <w:r w:rsidRPr="003C4DF3">
        <w:t>Mme Concetta Carbé</w:t>
      </w:r>
    </w:p>
    <w:p w:rsidR="00183007" w:rsidRPr="00183007" w:rsidRDefault="00183007" w:rsidP="008A271A">
      <w:pPr>
        <w:pStyle w:val="JuPara"/>
      </w:pPr>
      <w:r w:rsidRPr="00183007">
        <w:t>19.  La Cour rappelle que, dans le cadre de la requête n</w:t>
      </w:r>
      <w:r w:rsidRPr="00183007">
        <w:rPr>
          <w:vertAlign w:val="superscript"/>
        </w:rPr>
        <w:t>o</w:t>
      </w:r>
      <w:r w:rsidRPr="00183007">
        <w:t xml:space="preserve"> 13697/04, la requérante n</w:t>
      </w:r>
      <w:r w:rsidR="003C4DF3">
        <w:t>’</w:t>
      </w:r>
      <w:r w:rsidRPr="00183007">
        <w:t>avait pas signalé à la Cour qu</w:t>
      </w:r>
      <w:r w:rsidR="003C4DF3">
        <w:t>’</w:t>
      </w:r>
      <w:r w:rsidRPr="00183007">
        <w:t>elle avait introduit un recours devant la Cour d</w:t>
      </w:r>
      <w:r w:rsidR="003C4DF3">
        <w:t>’</w:t>
      </w:r>
      <w:r w:rsidRPr="00183007">
        <w:t>appel de Messine et, ensuite, devant la Cour de cassation au sens de la « loi Pinto ». Dès lors, sa requête avait été rejetée pour non</w:t>
      </w:r>
      <w:r w:rsidR="003C4DF3">
        <w:noBreakHyphen/>
      </w:r>
      <w:r w:rsidRPr="00183007">
        <w:t>épuisement des voies de recours internes.</w:t>
      </w:r>
    </w:p>
    <w:p w:rsidR="00183007" w:rsidRPr="00183007" w:rsidRDefault="00183007" w:rsidP="008A271A">
      <w:pPr>
        <w:pStyle w:val="JuPara"/>
      </w:pPr>
      <w:r w:rsidRPr="00183007">
        <w:t>20.  Tout comme pour le premier requérant, la Cour observe que, à l</w:t>
      </w:r>
      <w:r w:rsidR="003C4DF3">
        <w:t>’</w:t>
      </w:r>
      <w:r w:rsidRPr="00183007">
        <w:t>instar de la requête n</w:t>
      </w:r>
      <w:r w:rsidRPr="00183007">
        <w:rPr>
          <w:vertAlign w:val="superscript"/>
        </w:rPr>
        <w:t>o</w:t>
      </w:r>
      <w:r w:rsidRPr="00183007">
        <w:t xml:space="preserve"> 13697/04, les griefs soulevés dans le cadre de la présente requête ont trait à la durée de la procédure interne </w:t>
      </w:r>
      <w:r w:rsidRPr="00183007">
        <w:rPr>
          <w:rFonts w:cs="Arial"/>
        </w:rPr>
        <w:t>et sont donc les mêmes que ceux formulés dans le cadre de la requête n</w:t>
      </w:r>
      <w:r w:rsidRPr="00183007">
        <w:rPr>
          <w:rFonts w:cs="Arial"/>
          <w:vertAlign w:val="superscript"/>
        </w:rPr>
        <w:t>o</w:t>
      </w:r>
      <w:r w:rsidRPr="00183007">
        <w:rPr>
          <w:rFonts w:cs="Arial"/>
        </w:rPr>
        <w:t xml:space="preserve"> 13697/04.</w:t>
      </w:r>
    </w:p>
    <w:p w:rsidR="00183007" w:rsidRDefault="00183007" w:rsidP="008A271A">
      <w:pPr>
        <w:pStyle w:val="JuPara"/>
      </w:pPr>
      <w:r w:rsidRPr="00183007">
        <w:t>21.  </w:t>
      </w:r>
      <w:r w:rsidRPr="00183007">
        <w:rPr>
          <w:rFonts w:cs="Arial"/>
        </w:rPr>
        <w:t>Dans ces circonstances, la Cour estime que le grief formulé par la requérante, tiré des articles 6 § 1 et 13 de la Convention, doivent être qualifiés d</w:t>
      </w:r>
      <w:r w:rsidR="003C4DF3">
        <w:rPr>
          <w:rFonts w:cs="Arial"/>
        </w:rPr>
        <w:t>’</w:t>
      </w:r>
      <w:r w:rsidRPr="00183007">
        <w:rPr>
          <w:rFonts w:cs="Arial"/>
        </w:rPr>
        <w:t>office de demande implicite de révision de l</w:t>
      </w:r>
      <w:r w:rsidR="003C4DF3">
        <w:rPr>
          <w:rFonts w:cs="Arial"/>
        </w:rPr>
        <w:t>’</w:t>
      </w:r>
      <w:r w:rsidRPr="00183007">
        <w:rPr>
          <w:rFonts w:cs="Arial"/>
        </w:rPr>
        <w:t>arrêt de la Cour du 23 juin 2009, notamment de son paragraphe 26, au sens de l</w:t>
      </w:r>
      <w:r w:rsidR="003C4DF3">
        <w:rPr>
          <w:rFonts w:cs="Arial"/>
        </w:rPr>
        <w:t>’</w:t>
      </w:r>
      <w:r w:rsidRPr="00183007">
        <w:rPr>
          <w:rFonts w:cs="Arial"/>
        </w:rPr>
        <w:t>article 80 du Règlement de la Cour, demande fondée sur un fait nouveau à savoir l</w:t>
      </w:r>
      <w:r w:rsidR="003C4DF3">
        <w:rPr>
          <w:rFonts w:cs="Arial"/>
        </w:rPr>
        <w:t>’</w:t>
      </w:r>
      <w:r w:rsidRPr="00183007">
        <w:rPr>
          <w:rFonts w:cs="Arial"/>
        </w:rPr>
        <w:t>introduction par la requérante du</w:t>
      </w:r>
      <w:r w:rsidRPr="00183007">
        <w:t xml:space="preserve"> recours « Pinto ». L</w:t>
      </w:r>
      <w:r w:rsidR="003C4DF3">
        <w:rPr>
          <w:rFonts w:cs="Arial"/>
        </w:rPr>
        <w:t>’</w:t>
      </w:r>
      <w:r w:rsidRPr="00183007">
        <w:rPr>
          <w:rFonts w:cs="Arial"/>
        </w:rPr>
        <w:t>article 80 du Règlement de la Cour</w:t>
      </w:r>
      <w:r w:rsidRPr="00183007">
        <w:t xml:space="preserve"> dispose ainsi dans ses parties pertinentes :</w:t>
      </w:r>
    </w:p>
    <w:p w:rsidR="00183007" w:rsidRPr="00183007" w:rsidRDefault="00183007" w:rsidP="00183007">
      <w:pPr>
        <w:pStyle w:val="JuQuot"/>
      </w:pPr>
      <w:r w:rsidRPr="00183007">
        <w:t>« 1. En cas de découverte d</w:t>
      </w:r>
      <w:r w:rsidR="003C4DF3">
        <w:t>’</w:t>
      </w:r>
      <w:r w:rsidRPr="00183007">
        <w:t>un fait qui, par sa nature, aurait pu exercer une influence décisive sur l</w:t>
      </w:r>
      <w:r w:rsidR="003C4DF3">
        <w:t>’</w:t>
      </w:r>
      <w:r w:rsidRPr="00183007">
        <w:t>issue d</w:t>
      </w:r>
      <w:r w:rsidR="003C4DF3">
        <w:t>’</w:t>
      </w:r>
      <w:r w:rsidRPr="00183007">
        <w:t>une affaire déjà tranchée et qui, à l</w:t>
      </w:r>
      <w:r w:rsidR="003C4DF3">
        <w:t>’</w:t>
      </w:r>
      <w:r w:rsidRPr="00183007">
        <w:t>époque de l</w:t>
      </w:r>
      <w:r w:rsidR="003C4DF3">
        <w:t>’</w:t>
      </w:r>
      <w:r w:rsidRPr="00183007">
        <w:t>arrêt, était inconnu de la Cour et ne pouvait raisonnablement être connu d</w:t>
      </w:r>
      <w:r w:rsidR="003C4DF3">
        <w:t>’</w:t>
      </w:r>
      <w:r w:rsidRPr="00183007">
        <w:t>une partie, cette dernière peut, dans le délai de six mois à partir du moment où elle a eu connaissance du fait découvert, saisir la Cour d</w:t>
      </w:r>
      <w:r w:rsidR="003C4DF3">
        <w:t>’</w:t>
      </w:r>
      <w:r w:rsidRPr="00183007">
        <w:t>une demande en révision de l</w:t>
      </w:r>
      <w:r w:rsidR="003C4DF3">
        <w:t>’</w:t>
      </w:r>
      <w:r w:rsidRPr="00183007">
        <w:t>arrêt dont il s</w:t>
      </w:r>
      <w:r w:rsidR="003C4DF3">
        <w:t>’</w:t>
      </w:r>
      <w:r w:rsidRPr="00183007">
        <w:t>agit. [</w:t>
      </w:r>
      <w:r>
        <w:t>...</w:t>
      </w:r>
      <w:r w:rsidRPr="00183007">
        <w:t>]</w:t>
      </w:r>
    </w:p>
    <w:p w:rsidR="00183007" w:rsidRPr="00183007" w:rsidRDefault="00183007" w:rsidP="00183007">
      <w:pPr>
        <w:pStyle w:val="JuQuot"/>
      </w:pPr>
      <w:r w:rsidRPr="00183007">
        <w:t>3</w:t>
      </w:r>
      <w:r w:rsidRPr="00183007">
        <w:rPr>
          <w:rStyle w:val="JuQuotChar"/>
        </w:rPr>
        <w:t>.  La chambre initiale peut décider d</w:t>
      </w:r>
      <w:r w:rsidR="003C4DF3">
        <w:rPr>
          <w:rStyle w:val="JuQuotChar"/>
        </w:rPr>
        <w:t>’</w:t>
      </w:r>
      <w:r w:rsidRPr="00183007">
        <w:rPr>
          <w:rStyle w:val="JuQuotChar"/>
        </w:rPr>
        <w:t>office d</w:t>
      </w:r>
      <w:r w:rsidR="003C4DF3">
        <w:rPr>
          <w:rStyle w:val="JuQuotChar"/>
        </w:rPr>
        <w:t>’</w:t>
      </w:r>
      <w:r w:rsidRPr="00183007">
        <w:rPr>
          <w:rStyle w:val="JuQuotChar"/>
        </w:rPr>
        <w:t>écarter la demande au motif que nulle raison n</w:t>
      </w:r>
      <w:r w:rsidR="003C4DF3">
        <w:rPr>
          <w:rStyle w:val="JuQuotChar"/>
        </w:rPr>
        <w:t>’</w:t>
      </w:r>
      <w:r w:rsidRPr="00183007">
        <w:rPr>
          <w:rStyle w:val="JuQuotChar"/>
        </w:rPr>
        <w:t>en justifie l</w:t>
      </w:r>
      <w:r w:rsidR="003C4DF3">
        <w:rPr>
          <w:rStyle w:val="JuQuotChar"/>
        </w:rPr>
        <w:t>’</w:t>
      </w:r>
      <w:r w:rsidRPr="00183007">
        <w:rPr>
          <w:rStyle w:val="JuQuotChar"/>
        </w:rPr>
        <w:t>examen. S</w:t>
      </w:r>
      <w:r w:rsidR="003C4DF3">
        <w:rPr>
          <w:rStyle w:val="JuQuotChar"/>
        </w:rPr>
        <w:t>’</w:t>
      </w:r>
      <w:r w:rsidRPr="00183007">
        <w:rPr>
          <w:rStyle w:val="JuQuotChar"/>
        </w:rPr>
        <w:t>il n</w:t>
      </w:r>
      <w:r w:rsidR="003C4DF3">
        <w:rPr>
          <w:rStyle w:val="JuQuotChar"/>
        </w:rPr>
        <w:t>’</w:t>
      </w:r>
      <w:r w:rsidRPr="00183007">
        <w:rPr>
          <w:rStyle w:val="JuQuotChar"/>
        </w:rPr>
        <w:t>est pas possible de réunir la chambre initiale, le président de la Cour constitue ou complète la chambre par tirage au sort. [</w:t>
      </w:r>
      <w:r>
        <w:rPr>
          <w:rStyle w:val="JuQuotChar"/>
        </w:rPr>
        <w:t>...</w:t>
      </w:r>
      <w:r w:rsidRPr="00183007">
        <w:rPr>
          <w:rStyle w:val="JuQuotChar"/>
        </w:rPr>
        <w:t>]</w:t>
      </w:r>
      <w:r w:rsidRPr="00183007">
        <w:t> »</w:t>
      </w:r>
    </w:p>
    <w:p w:rsidR="00183007" w:rsidRPr="00183007" w:rsidRDefault="00183007" w:rsidP="008A271A">
      <w:pPr>
        <w:pStyle w:val="JuPara"/>
        <w:rPr>
          <w:bCs/>
        </w:rPr>
      </w:pPr>
      <w:r w:rsidRPr="00183007">
        <w:rPr>
          <w:bCs/>
        </w:rPr>
        <w:t>22.  </w:t>
      </w:r>
      <w:r w:rsidRPr="00183007">
        <w:rPr>
          <w:rStyle w:val="sb8d990e2"/>
        </w:rPr>
        <w:t>La Cour rappelle que, selon l</w:t>
      </w:r>
      <w:r w:rsidR="003C4DF3">
        <w:rPr>
          <w:rStyle w:val="sb8d990e2"/>
        </w:rPr>
        <w:t>’</w:t>
      </w:r>
      <w:r w:rsidRPr="00183007">
        <w:rPr>
          <w:rStyle w:val="sb8d990e2"/>
        </w:rPr>
        <w:t>article 44 de la Convention, ses arrêts sont définitifs et que, dans la mesure où elle remet en question ce caractère définitif, la procédure en révision, non prévue par la Convention mais instaurée par le règlement de la Cour, revêt un caractère exceptionnel : d</w:t>
      </w:r>
      <w:r w:rsidR="003C4DF3">
        <w:rPr>
          <w:rStyle w:val="sb8d990e2"/>
        </w:rPr>
        <w:t>’</w:t>
      </w:r>
      <w:r w:rsidRPr="00183007">
        <w:rPr>
          <w:rStyle w:val="sb8d990e2"/>
        </w:rPr>
        <w:t>où l</w:t>
      </w:r>
      <w:r w:rsidR="003C4DF3">
        <w:rPr>
          <w:rStyle w:val="sb8d990e2"/>
        </w:rPr>
        <w:t>’</w:t>
      </w:r>
      <w:r w:rsidRPr="00183007">
        <w:rPr>
          <w:rStyle w:val="sb8d990e2"/>
        </w:rPr>
        <w:t>exigence d</w:t>
      </w:r>
      <w:r w:rsidR="003C4DF3">
        <w:rPr>
          <w:rStyle w:val="sb8d990e2"/>
        </w:rPr>
        <w:t>’</w:t>
      </w:r>
      <w:r w:rsidRPr="00183007">
        <w:rPr>
          <w:rStyle w:val="sb8d990e2"/>
        </w:rPr>
        <w:t>un examen strict de la recevabilité de toute demande en révision d</w:t>
      </w:r>
      <w:r w:rsidR="003C4DF3">
        <w:rPr>
          <w:rStyle w:val="sb8d990e2"/>
        </w:rPr>
        <w:t>’</w:t>
      </w:r>
      <w:r w:rsidRPr="00183007">
        <w:rPr>
          <w:rStyle w:val="sb8d990e2"/>
        </w:rPr>
        <w:t>un arrêt de la Cour dans le cadre d</w:t>
      </w:r>
      <w:r w:rsidR="003C4DF3">
        <w:rPr>
          <w:rStyle w:val="sb8d990e2"/>
        </w:rPr>
        <w:t>’</w:t>
      </w:r>
      <w:r w:rsidRPr="00183007">
        <w:rPr>
          <w:rStyle w:val="sb8d990e2"/>
        </w:rPr>
        <w:t>une telle procédure (</w:t>
      </w:r>
      <w:r w:rsidRPr="00183007">
        <w:rPr>
          <w:rStyle w:val="wordhighlightedcurrentterm"/>
          <w:i/>
        </w:rPr>
        <w:t>Pardo</w:t>
      </w:r>
      <w:r w:rsidRPr="00183007">
        <w:rPr>
          <w:rStyle w:val="s6b621b36"/>
          <w:i/>
        </w:rPr>
        <w:t xml:space="preserve"> c.</w:t>
      </w:r>
      <w:r w:rsidR="00BB46F3">
        <w:rPr>
          <w:rStyle w:val="s6b621b36"/>
          <w:i/>
        </w:rPr>
        <w:t> </w:t>
      </w:r>
      <w:r w:rsidRPr="00183007">
        <w:rPr>
          <w:rStyle w:val="s6b621b36"/>
          <w:i/>
        </w:rPr>
        <w:t>France</w:t>
      </w:r>
      <w:r w:rsidRPr="00183007">
        <w:rPr>
          <w:rStyle w:val="sb8d990e2"/>
        </w:rPr>
        <w:t xml:space="preserve">, 10 juillet 1996 (révision – recevabilité), § 21, </w:t>
      </w:r>
      <w:r w:rsidRPr="00183007">
        <w:rPr>
          <w:rStyle w:val="s6b621b36"/>
        </w:rPr>
        <w:t>Recueil des arrêts et décisions</w:t>
      </w:r>
      <w:r w:rsidRPr="00183007">
        <w:rPr>
          <w:rStyle w:val="sb8d990e2"/>
        </w:rPr>
        <w:t xml:space="preserve"> 1996-III, </w:t>
      </w:r>
      <w:r w:rsidRPr="00183007">
        <w:rPr>
          <w:rStyle w:val="s6b621b36"/>
          <w:i/>
        </w:rPr>
        <w:t>Gustafsson c. Suède</w:t>
      </w:r>
      <w:r w:rsidRPr="00183007">
        <w:rPr>
          <w:rStyle w:val="sb8d990e2"/>
        </w:rPr>
        <w:t>, 30 juillet 1998 (révision – bien</w:t>
      </w:r>
      <w:r w:rsidR="003C4DF3">
        <w:rPr>
          <w:rStyle w:val="sb8d990e2"/>
        </w:rPr>
        <w:noBreakHyphen/>
      </w:r>
      <w:r w:rsidRPr="00183007">
        <w:rPr>
          <w:rStyle w:val="sb8d990e2"/>
        </w:rPr>
        <w:t xml:space="preserve">fondé), § 25, </w:t>
      </w:r>
      <w:r w:rsidRPr="00183007">
        <w:rPr>
          <w:rStyle w:val="s6b621b36"/>
        </w:rPr>
        <w:t xml:space="preserve">Recueil </w:t>
      </w:r>
      <w:r w:rsidRPr="00183007">
        <w:rPr>
          <w:rStyle w:val="sb8d990e2"/>
        </w:rPr>
        <w:t xml:space="preserve">1998-V, et </w:t>
      </w:r>
      <w:r w:rsidRPr="00183007">
        <w:rPr>
          <w:rStyle w:val="s6b621b36"/>
          <w:i/>
        </w:rPr>
        <w:t>Stoicescu c. Roumanie</w:t>
      </w:r>
      <w:r w:rsidRPr="00183007">
        <w:rPr>
          <w:rStyle w:val="sb8d990e2"/>
        </w:rPr>
        <w:t xml:space="preserve"> (révision), n</w:t>
      </w:r>
      <w:r w:rsidRPr="00183007">
        <w:rPr>
          <w:rStyle w:val="sb8d990e2"/>
          <w:vertAlign w:val="superscript"/>
        </w:rPr>
        <w:t>o</w:t>
      </w:r>
      <w:r w:rsidRPr="00183007">
        <w:rPr>
          <w:rStyle w:val="sb8d990e2"/>
        </w:rPr>
        <w:t> 31551/96, § 33, 21 septembre 2004).</w:t>
      </w:r>
    </w:p>
    <w:p w:rsidR="00183007" w:rsidRPr="00183007" w:rsidRDefault="00183007" w:rsidP="008A271A">
      <w:pPr>
        <w:pStyle w:val="JuPara"/>
        <w:rPr>
          <w:bCs/>
        </w:rPr>
      </w:pPr>
      <w:r w:rsidRPr="00183007">
        <w:rPr>
          <w:bCs/>
        </w:rPr>
        <w:t>23.  Or, la Cour relève que le fait en cause était bien évidemment connu par la requérante à l</w:t>
      </w:r>
      <w:r w:rsidR="003C4DF3">
        <w:rPr>
          <w:bCs/>
        </w:rPr>
        <w:t>’</w:t>
      </w:r>
      <w:r w:rsidRPr="00183007">
        <w:rPr>
          <w:bCs/>
        </w:rPr>
        <w:t>époque de l</w:t>
      </w:r>
      <w:r w:rsidR="003C4DF3">
        <w:rPr>
          <w:bCs/>
        </w:rPr>
        <w:t>’</w:t>
      </w:r>
      <w:r w:rsidRPr="00183007">
        <w:rPr>
          <w:bCs/>
        </w:rPr>
        <w:t>introduction de la première requête, celle-ci étant partie dans la procédure devant les instances « Pinto » dont il est question, et qu</w:t>
      </w:r>
      <w:r w:rsidR="003C4DF3">
        <w:rPr>
          <w:bCs/>
        </w:rPr>
        <w:t>’</w:t>
      </w:r>
      <w:r w:rsidRPr="00183007">
        <w:rPr>
          <w:bCs/>
        </w:rPr>
        <w:t>elle a simplement omis de fournir à la Cour une version correcte des faits de l</w:t>
      </w:r>
      <w:r w:rsidR="003C4DF3">
        <w:rPr>
          <w:bCs/>
        </w:rPr>
        <w:t>’</w:t>
      </w:r>
      <w:r w:rsidRPr="00183007">
        <w:rPr>
          <w:bCs/>
        </w:rPr>
        <w:t>affaire.</w:t>
      </w:r>
    </w:p>
    <w:p w:rsidR="00183007" w:rsidRPr="00183007" w:rsidRDefault="00183007" w:rsidP="008A271A">
      <w:pPr>
        <w:pStyle w:val="JuPara"/>
        <w:rPr>
          <w:i/>
          <w:lang w:eastAsia="en-US"/>
        </w:rPr>
      </w:pPr>
      <w:r w:rsidRPr="00183007">
        <w:rPr>
          <w:rFonts w:cs="Arial"/>
        </w:rPr>
        <w:t>24.  </w:t>
      </w:r>
      <w:r w:rsidRPr="00183007">
        <w:t>Dès lors, la Cour rejette la demande de la requérante tendant à obtenir une révision de l</w:t>
      </w:r>
      <w:r w:rsidR="003C4DF3">
        <w:t>’</w:t>
      </w:r>
      <w:r w:rsidRPr="00183007">
        <w:t>affaire à la lumière de faits nouvellement présentés devant elle, au sens de l</w:t>
      </w:r>
      <w:r w:rsidR="003C4DF3">
        <w:t>’</w:t>
      </w:r>
      <w:r w:rsidRPr="00183007">
        <w:t>article 80 §§ 1 et 3 du Règlement (</w:t>
      </w:r>
      <w:r w:rsidRPr="00183007">
        <w:rPr>
          <w:i/>
          <w:lang w:eastAsia="en-US"/>
        </w:rPr>
        <w:t xml:space="preserve">Grossi et autres c. Italie </w:t>
      </w:r>
      <w:r w:rsidRPr="00183007">
        <w:rPr>
          <w:lang w:eastAsia="en-US"/>
        </w:rPr>
        <w:t xml:space="preserve">(révision), </w:t>
      </w:r>
      <w:r w:rsidRPr="00183007">
        <w:rPr>
          <w:szCs w:val="22"/>
          <w:lang w:eastAsia="en-US"/>
        </w:rPr>
        <w:t>n</w:t>
      </w:r>
      <w:r w:rsidRPr="00183007">
        <w:rPr>
          <w:szCs w:val="22"/>
          <w:vertAlign w:val="superscript"/>
          <w:lang w:eastAsia="en-US"/>
        </w:rPr>
        <w:t>o</w:t>
      </w:r>
      <w:r w:rsidRPr="00183007">
        <w:rPr>
          <w:szCs w:val="22"/>
          <w:lang w:eastAsia="en-US"/>
        </w:rPr>
        <w:t xml:space="preserve"> 18791/03</w:t>
      </w:r>
      <w:r w:rsidRPr="00183007">
        <w:rPr>
          <w:snapToGrid w:val="0"/>
          <w:lang w:eastAsia="en-US"/>
        </w:rPr>
        <w:t xml:space="preserve">, 30 </w:t>
      </w:r>
      <w:r w:rsidRPr="00183007">
        <w:rPr>
          <w:lang w:eastAsia="en-US"/>
        </w:rPr>
        <w:t>octobre</w:t>
      </w:r>
      <w:r w:rsidRPr="00183007">
        <w:rPr>
          <w:snapToGrid w:val="0"/>
          <w:lang w:eastAsia="en-US"/>
        </w:rPr>
        <w:t xml:space="preserve"> 2012; </w:t>
      </w:r>
      <w:r w:rsidRPr="00183007">
        <w:rPr>
          <w:i/>
          <w:snapToGrid w:val="0"/>
          <w:lang w:eastAsia="en-US"/>
        </w:rPr>
        <w:t>Ernest Pardo c. France</w:t>
      </w:r>
      <w:r w:rsidRPr="00183007">
        <w:rPr>
          <w:snapToGrid w:val="0"/>
          <w:lang w:eastAsia="en-US"/>
        </w:rPr>
        <w:t>, déc., n</w:t>
      </w:r>
      <w:r w:rsidRPr="00183007">
        <w:rPr>
          <w:snapToGrid w:val="0"/>
          <w:vertAlign w:val="superscript"/>
          <w:lang w:eastAsia="en-US"/>
        </w:rPr>
        <w:t>o</w:t>
      </w:r>
      <w:r w:rsidRPr="00183007">
        <w:rPr>
          <w:snapToGrid w:val="0"/>
          <w:lang w:eastAsia="en-US"/>
        </w:rPr>
        <w:t xml:space="preserve"> 13416/87, 31 août 2004 et</w:t>
      </w:r>
      <w:r w:rsidRPr="00183007">
        <w:t xml:space="preserve"> </w:t>
      </w:r>
      <w:r w:rsidRPr="00183007">
        <w:rPr>
          <w:rStyle w:val="s6b621b36"/>
          <w:i/>
        </w:rPr>
        <w:t>Haas c. Pays-Bas</w:t>
      </w:r>
      <w:r w:rsidRPr="00183007">
        <w:rPr>
          <w:rStyle w:val="sb8d990e2"/>
        </w:rPr>
        <w:t>, déc., n</w:t>
      </w:r>
      <w:r w:rsidRPr="00183007">
        <w:rPr>
          <w:rStyle w:val="sb8d990e2"/>
          <w:vertAlign w:val="superscript"/>
        </w:rPr>
        <w:t>o</w:t>
      </w:r>
      <w:r w:rsidRPr="00183007">
        <w:rPr>
          <w:rStyle w:val="sb8d990e2"/>
        </w:rPr>
        <w:t xml:space="preserve"> 36983/97, 7 septembre 2004).</w:t>
      </w:r>
    </w:p>
    <w:p w:rsidR="00183007" w:rsidRPr="003C4DF3" w:rsidRDefault="003C4DF3" w:rsidP="003C4DF3">
      <w:pPr>
        <w:pStyle w:val="JuH1"/>
      </w:pPr>
      <w:r w:rsidRPr="003C4DF3">
        <w:t>2.  </w:t>
      </w:r>
      <w:r w:rsidR="00183007" w:rsidRPr="003C4DF3">
        <w:t>Quant à la période postérieure à celle prise en considération par les instances internes dans le cadre du recours « Pinto » introduit par les requérants</w:t>
      </w:r>
    </w:p>
    <w:p w:rsidR="00183007" w:rsidRPr="00183007" w:rsidRDefault="00183007" w:rsidP="00183007">
      <w:pPr>
        <w:pStyle w:val="JuPara"/>
        <w:rPr>
          <w:szCs w:val="24"/>
          <w:lang w:eastAsia="en-US"/>
        </w:rPr>
      </w:pPr>
      <w:r w:rsidRPr="00183007">
        <w:rPr>
          <w:bCs/>
        </w:rPr>
        <w:t>25.  </w:t>
      </w:r>
      <w:r w:rsidRPr="00183007">
        <w:t>La Cour relève que la cour d</w:t>
      </w:r>
      <w:r w:rsidR="003C4DF3">
        <w:t>’</w:t>
      </w:r>
      <w:r w:rsidRPr="00183007">
        <w:t>appel de Messine, dans le cadre du premier recours Pinto, a évalué la durée de la procédure à la date de ses décisions, à savoir le 20 juillet 2004 et le 20 octobre 2004. La procédure de faillite étant toujours pendante, les requérants ont omis d</w:t>
      </w:r>
      <w:r w:rsidR="003C4DF3">
        <w:t>’</w:t>
      </w:r>
      <w:r w:rsidRPr="00183007">
        <w:t>introduire un nouveau recours « Pinto » pour se plaindre de la période de plus de huit ans, à ce jour, non prise en compte dans le cadre du premier recours. En ce qui concerne cette phase postérieure, les requérants auraient dû utiliser les voies de recours internes en saisissant une nouvelle fois la cour d</w:t>
      </w:r>
      <w:r w:rsidR="003C4DF3">
        <w:t>’</w:t>
      </w:r>
      <w:r w:rsidRPr="00183007">
        <w:t>appel compétente. Dès lors, l</w:t>
      </w:r>
      <w:r w:rsidRPr="00183007">
        <w:rPr>
          <w:bCs/>
        </w:rPr>
        <w:t>a Cour estime que cette partie de la requête doit donc être rejetée pour non-épuisement des voies de recours internes au sens de l</w:t>
      </w:r>
      <w:r w:rsidR="003C4DF3">
        <w:rPr>
          <w:bCs/>
        </w:rPr>
        <w:t>’</w:t>
      </w:r>
      <w:r w:rsidRPr="00183007">
        <w:rPr>
          <w:bCs/>
        </w:rPr>
        <w:t>article 35 §§ 1 et 4 de la Convention (</w:t>
      </w:r>
      <w:r w:rsidRPr="00183007">
        <w:rPr>
          <w:i/>
          <w:szCs w:val="24"/>
          <w:lang w:eastAsia="en-US"/>
        </w:rPr>
        <w:t xml:space="preserve">Musci c. </w:t>
      </w:r>
      <w:r w:rsidRPr="00183007">
        <w:rPr>
          <w:i/>
          <w:spacing w:val="-2"/>
          <w:szCs w:val="24"/>
          <w:lang w:eastAsia="en-US"/>
        </w:rPr>
        <w:t xml:space="preserve">Italie </w:t>
      </w:r>
      <w:r w:rsidRPr="00183007">
        <w:rPr>
          <w:szCs w:val="24"/>
          <w:lang w:eastAsia="en-US"/>
        </w:rPr>
        <w:t>[GC], n</w:t>
      </w:r>
      <w:r w:rsidRPr="00183007">
        <w:rPr>
          <w:szCs w:val="24"/>
          <w:vertAlign w:val="superscript"/>
          <w:lang w:eastAsia="en-US"/>
        </w:rPr>
        <w:t>o</w:t>
      </w:r>
      <w:r w:rsidRPr="00183007">
        <w:rPr>
          <w:szCs w:val="24"/>
          <w:lang w:eastAsia="en-US"/>
        </w:rPr>
        <w:t xml:space="preserve"> 64699/01, § 116, CEDH 2006</w:t>
      </w:r>
      <w:r w:rsidRPr="00183007">
        <w:rPr>
          <w:szCs w:val="24"/>
          <w:lang w:eastAsia="en-US"/>
        </w:rPr>
        <w:noBreakHyphen/>
        <w:t xml:space="preserve">V (extraits) et </w:t>
      </w:r>
      <w:r w:rsidRPr="00183007">
        <w:rPr>
          <w:i/>
          <w:szCs w:val="24"/>
          <w:lang w:eastAsia="en-US"/>
        </w:rPr>
        <w:t>Gattuso c. Italie</w:t>
      </w:r>
      <w:r w:rsidRPr="00183007">
        <w:rPr>
          <w:szCs w:val="24"/>
          <w:lang w:eastAsia="en-US"/>
        </w:rPr>
        <w:t>, déc. n</w:t>
      </w:r>
      <w:r w:rsidRPr="00183007">
        <w:rPr>
          <w:szCs w:val="24"/>
          <w:vertAlign w:val="superscript"/>
          <w:lang w:eastAsia="en-US"/>
        </w:rPr>
        <w:t>o</w:t>
      </w:r>
      <w:r w:rsidRPr="00183007">
        <w:rPr>
          <w:szCs w:val="24"/>
          <w:lang w:eastAsia="en-US"/>
        </w:rPr>
        <w:t xml:space="preserve"> 24715/04, 18 novembre 2004)</w:t>
      </w:r>
      <w:r w:rsidRPr="00183007">
        <w:rPr>
          <w:bCs/>
        </w:rPr>
        <w:t>.</w:t>
      </w:r>
    </w:p>
    <w:p w:rsidR="00183007" w:rsidRPr="00183007" w:rsidRDefault="00183007" w:rsidP="00183007">
      <w:pPr>
        <w:pStyle w:val="JuPara"/>
      </w:pPr>
      <w:r w:rsidRPr="00183007">
        <w:t>26.  Les requérants invoquent également les articles 17 et 53 de la Convention, sans toutefois étayer ces griefs. Les articles en cause sont ainsi libellés :</w:t>
      </w:r>
    </w:p>
    <w:p w:rsidR="00183007" w:rsidRPr="00183007" w:rsidRDefault="00183007" w:rsidP="008A271A">
      <w:pPr>
        <w:pStyle w:val="JuHArticle"/>
      </w:pPr>
      <w:r w:rsidRPr="00183007">
        <w:t>Article 17 de la Convention</w:t>
      </w:r>
    </w:p>
    <w:p w:rsidR="00183007" w:rsidRPr="00183007" w:rsidRDefault="00183007" w:rsidP="00183007">
      <w:pPr>
        <w:pStyle w:val="JuQuot"/>
      </w:pPr>
      <w:r w:rsidRPr="00183007">
        <w:t>« Aucune des dispositions de la (...) Convention ne peut être interprétée comme impliquant pour un Etat, un groupement ou un individu, un droit quelconque de se livrer à une activité ou d</w:t>
      </w:r>
      <w:r w:rsidR="003C4DF3">
        <w:t>’</w:t>
      </w:r>
      <w:r w:rsidRPr="00183007">
        <w:t>accomplir un acte visant à la destruction des droits ou libertés reconnus dans la (...) Convention ou à des limitations plus amples de ces droits et libertés que celles prévues à [la] Convention. »</w:t>
      </w:r>
    </w:p>
    <w:p w:rsidR="00183007" w:rsidRPr="00183007" w:rsidRDefault="00183007" w:rsidP="008A271A">
      <w:pPr>
        <w:pStyle w:val="JuHArticle"/>
      </w:pPr>
      <w:r w:rsidRPr="00183007">
        <w:t>Article 53 de la Convention</w:t>
      </w:r>
    </w:p>
    <w:p w:rsidR="00183007" w:rsidRPr="00183007" w:rsidRDefault="00183007" w:rsidP="00183007">
      <w:pPr>
        <w:pStyle w:val="JuQuot"/>
      </w:pPr>
      <w:r w:rsidRPr="00183007">
        <w:t>« Aucune des dispositions de la (...) Convention ne sera interprétée comme limitant ou portant atteinte aux droits de l</w:t>
      </w:r>
      <w:r w:rsidR="003C4DF3">
        <w:t>’</w:t>
      </w:r>
      <w:r w:rsidRPr="00183007">
        <w:t>homme et aux libertés fondamentales qui pourraient être reconnus conformément aux lois de toute Partie contractante ou à toute autre Convention à laquelle cette Partie contractante est partie. »</w:t>
      </w:r>
    </w:p>
    <w:p w:rsidR="00183007" w:rsidRPr="008A271A" w:rsidRDefault="00183007" w:rsidP="008A271A">
      <w:pPr>
        <w:pStyle w:val="JuPara"/>
      </w:pPr>
      <w:r w:rsidRPr="008A271A">
        <w:t>27.  La Cour relève que, ces griefs n</w:t>
      </w:r>
      <w:r w:rsidR="003C4DF3">
        <w:t>’</w:t>
      </w:r>
      <w:r w:rsidRPr="008A271A">
        <w:t>ayant pas été étayés, ils doivent être déclarés irrecevables en tant que manifestement mal fondés au sens de l</w:t>
      </w:r>
      <w:r w:rsidR="003C4DF3">
        <w:t>’</w:t>
      </w:r>
      <w:r w:rsidRPr="008A271A">
        <w:t>article 35 §§ 3 et 4 de la Convention.</w:t>
      </w:r>
    </w:p>
    <w:p w:rsidR="00183007" w:rsidRDefault="00183007" w:rsidP="00183007">
      <w:pPr>
        <w:pStyle w:val="JuParaLast"/>
      </w:pPr>
      <w:r w:rsidRPr="00183007">
        <w:t>Par ces motifs, la Cour, à l</w:t>
      </w:r>
      <w:r w:rsidR="003C4DF3">
        <w:t>’</w:t>
      </w:r>
      <w:r w:rsidRPr="00183007">
        <w:t>unanimité,</w:t>
      </w:r>
    </w:p>
    <w:p w:rsidR="00183007" w:rsidRPr="00183007" w:rsidRDefault="00183007" w:rsidP="008A271A">
      <w:pPr>
        <w:pStyle w:val="DecList"/>
      </w:pPr>
      <w:r w:rsidRPr="00183007">
        <w:rPr>
          <w:i/>
        </w:rPr>
        <w:t xml:space="preserve">Décide de rejeter </w:t>
      </w:r>
      <w:r w:rsidRPr="00183007">
        <w:t>la demande en révision de l</w:t>
      </w:r>
      <w:r w:rsidR="003C4DF3">
        <w:t>’</w:t>
      </w:r>
      <w:r w:rsidRPr="00183007">
        <w:t xml:space="preserve">arrêt </w:t>
      </w:r>
      <w:r w:rsidRPr="00183007">
        <w:rPr>
          <w:i/>
          <w:lang w:eastAsia="en-US"/>
        </w:rPr>
        <w:t>Carbè et autres c.</w:t>
      </w:r>
      <w:r>
        <w:rPr>
          <w:i/>
          <w:lang w:eastAsia="en-US"/>
        </w:rPr>
        <w:t> </w:t>
      </w:r>
      <w:r w:rsidRPr="00183007">
        <w:rPr>
          <w:i/>
          <w:lang w:eastAsia="en-US"/>
        </w:rPr>
        <w:t>Italie</w:t>
      </w:r>
      <w:r w:rsidRPr="00183007">
        <w:rPr>
          <w:lang w:eastAsia="en-US"/>
        </w:rPr>
        <w:t>, n</w:t>
      </w:r>
      <w:r w:rsidRPr="00183007">
        <w:rPr>
          <w:vertAlign w:val="superscript"/>
          <w:lang w:eastAsia="en-US"/>
        </w:rPr>
        <w:t>o</w:t>
      </w:r>
      <w:r w:rsidRPr="00183007">
        <w:rPr>
          <w:lang w:eastAsia="en-US"/>
        </w:rPr>
        <w:t xml:space="preserve"> 13697/04</w:t>
      </w:r>
      <w:r w:rsidRPr="00183007">
        <w:rPr>
          <w:snapToGrid w:val="0"/>
          <w:lang w:eastAsia="en-US"/>
        </w:rPr>
        <w:t xml:space="preserve">, 23 </w:t>
      </w:r>
      <w:r w:rsidRPr="00183007">
        <w:rPr>
          <w:lang w:eastAsia="en-US"/>
        </w:rPr>
        <w:t>juin</w:t>
      </w:r>
      <w:r w:rsidRPr="00183007">
        <w:rPr>
          <w:snapToGrid w:val="0"/>
          <w:lang w:eastAsia="en-US"/>
        </w:rPr>
        <w:t xml:space="preserve"> 2009 ;</w:t>
      </w:r>
    </w:p>
    <w:p w:rsidR="00183007" w:rsidRPr="008A271A" w:rsidRDefault="00183007" w:rsidP="008A271A">
      <w:pPr>
        <w:pStyle w:val="DecList"/>
      </w:pPr>
      <w:r w:rsidRPr="008A271A">
        <w:t>Déclare le restant de la requête irrecevable.</w:t>
      </w:r>
    </w:p>
    <w:p w:rsidR="00865E41" w:rsidRPr="00183007" w:rsidRDefault="00183007" w:rsidP="008A271A">
      <w:pPr>
        <w:pStyle w:val="JuSigned"/>
        <w:rPr>
          <w:szCs w:val="24"/>
        </w:rPr>
      </w:pPr>
      <w:r w:rsidRPr="00183007">
        <w:tab/>
        <w:t>Stanley Naismith</w:t>
      </w:r>
      <w:r w:rsidR="00865E41" w:rsidRPr="00183007">
        <w:tab/>
      </w:r>
      <w:r w:rsidRPr="00183007">
        <w:t>Danutė Jočienė</w:t>
      </w:r>
      <w:r w:rsidR="00865E41" w:rsidRPr="00183007">
        <w:br/>
      </w:r>
      <w:r w:rsidR="00865E41" w:rsidRPr="00183007">
        <w:tab/>
      </w:r>
      <w:r w:rsidRPr="00183007">
        <w:rPr>
          <w:szCs w:val="24"/>
        </w:rPr>
        <w:t>Greffier</w:t>
      </w:r>
      <w:r w:rsidR="00865E41" w:rsidRPr="00183007">
        <w:tab/>
      </w:r>
      <w:r w:rsidRPr="00183007">
        <w:t>Présidente</w:t>
      </w:r>
    </w:p>
    <w:sectPr w:rsidR="00865E41" w:rsidRPr="00183007" w:rsidSect="0010023A">
      <w:headerReference w:type="even" r:id="rId10"/>
      <w:headerReference w:type="default" r:id="rId11"/>
      <w:headerReference w:type="first" r:id="rId12"/>
      <w:footerReference w:type="first" r:id="rId13"/>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4FC" w:rsidRDefault="007414FC">
      <w:r>
        <w:separator/>
      </w:r>
    </w:p>
  </w:endnote>
  <w:endnote w:type="continuationSeparator" w:id="0">
    <w:p w:rsidR="007414FC" w:rsidRDefault="0074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07" w:rsidRPr="00183007" w:rsidRDefault="0054509A" w:rsidP="00D56AB6">
    <w:pPr>
      <w:jc w:val="center"/>
    </w:pPr>
    <w:r>
      <w:rPr>
        <w:noProof/>
        <w:lang w:val="en-US" w:eastAsia="ja-JP"/>
      </w:rPr>
      <w:drawing>
        <wp:inline distT="0" distB="0" distL="0" distR="0">
          <wp:extent cx="68453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419100"/>
                  </a:xfrm>
                  <a:prstGeom prst="rect">
                    <a:avLst/>
                  </a:prstGeom>
                  <a:noFill/>
                  <a:ln>
                    <a:noFill/>
                  </a:ln>
                </pic:spPr>
              </pic:pic>
            </a:graphicData>
          </a:graphic>
        </wp:inline>
      </w:drawing>
    </w:r>
  </w:p>
  <w:p w:rsidR="00112D62" w:rsidRPr="003D0B23" w:rsidRDefault="00112D62" w:rsidP="003D0B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4FC" w:rsidRDefault="007414FC">
      <w:r>
        <w:separator/>
      </w:r>
    </w:p>
  </w:footnote>
  <w:footnote w:type="continuationSeparator" w:id="0">
    <w:p w:rsidR="007414FC" w:rsidRDefault="00741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D83B17" w:rsidRDefault="00183007" w:rsidP="00A04C71">
    <w:pPr>
      <w:pStyle w:val="Header"/>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54509A">
      <w:rPr>
        <w:rStyle w:val="PageNumber"/>
        <w:noProof/>
        <w:lang w:val="en-US"/>
      </w:rPr>
      <w:t>1</w:t>
    </w:r>
    <w:r>
      <w:rPr>
        <w:rStyle w:val="PageNumber"/>
        <w:lang w:val="en-US"/>
      </w:rPr>
      <w:fldChar w:fldCharType="end"/>
    </w:r>
    <w:r w:rsidR="00112D62" w:rsidRPr="00D83B17">
      <w:rPr>
        <w:lang w:val="en-US"/>
      </w:rPr>
      <w:tab/>
      <w:t xml:space="preserve">DÉCISION </w:t>
    </w:r>
    <w:r>
      <w:rPr>
        <w:lang w:val="en-US"/>
      </w:rPr>
      <w:t>CARB</w:t>
    </w:r>
    <w:r w:rsidR="00D92847">
      <w:rPr>
        <w:lang w:val="en-US"/>
      </w:rPr>
      <w:t>É</w:t>
    </w:r>
    <w:r>
      <w:rPr>
        <w:lang w:val="en-US"/>
      </w:rPr>
      <w:t xml:space="preserv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D83B17" w:rsidRDefault="00112D62" w:rsidP="00A04C71">
    <w:pPr>
      <w:pStyle w:val="Header"/>
      <w:rPr>
        <w:lang w:val="en-US"/>
      </w:rPr>
    </w:pPr>
    <w:r>
      <w:tab/>
    </w:r>
    <w:r w:rsidRPr="00D83B17">
      <w:rPr>
        <w:lang w:val="en-US"/>
      </w:rPr>
      <w:t xml:space="preserve">DÉCISION </w:t>
    </w:r>
    <w:r w:rsidR="00183007">
      <w:rPr>
        <w:lang w:val="en-US"/>
      </w:rPr>
      <w:t>CARB</w:t>
    </w:r>
    <w:r w:rsidR="00D92847">
      <w:rPr>
        <w:lang w:val="en-US"/>
      </w:rPr>
      <w:t xml:space="preserve">É </w:t>
    </w:r>
    <w:r w:rsidR="00183007">
      <w:rPr>
        <w:lang w:val="en-US"/>
      </w:rPr>
      <w:t>c. ITALIE</w:t>
    </w:r>
    <w:r w:rsidRPr="00D83B17">
      <w:rPr>
        <w:lang w:val="en-US"/>
      </w:rPr>
      <w:tab/>
    </w:r>
    <w:r w:rsidR="00183007">
      <w:rPr>
        <w:rStyle w:val="PageNumber"/>
        <w:lang w:val="en-US"/>
      </w:rPr>
      <w:fldChar w:fldCharType="begin"/>
    </w:r>
    <w:r w:rsidR="00183007">
      <w:rPr>
        <w:rStyle w:val="PageNumber"/>
        <w:lang w:val="en-US"/>
      </w:rPr>
      <w:instrText xml:space="preserve"> PAGE </w:instrText>
    </w:r>
    <w:r w:rsidR="00183007">
      <w:rPr>
        <w:rStyle w:val="PageNumber"/>
        <w:lang w:val="en-US"/>
      </w:rPr>
      <w:fldChar w:fldCharType="separate"/>
    </w:r>
    <w:r w:rsidR="0054509A">
      <w:rPr>
        <w:rStyle w:val="PageNumber"/>
        <w:noProof/>
        <w:lang w:val="en-US"/>
      </w:rPr>
      <w:t>1</w:t>
    </w:r>
    <w:r w:rsidR="00183007">
      <w:rPr>
        <w:rStyle w:val="PageNumbe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07" w:rsidRPr="00C00F0F" w:rsidRDefault="0054509A">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112D62" w:rsidRDefault="00112D62" w:rsidP="00FA22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789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1"/>
    <w:docVar w:name="SignForeName" w:val="0"/>
  </w:docVars>
  <w:rsids>
    <w:rsidRoot w:val="00183007"/>
    <w:rsid w:val="00023136"/>
    <w:rsid w:val="00032F1D"/>
    <w:rsid w:val="000431F6"/>
    <w:rsid w:val="00065108"/>
    <w:rsid w:val="000776E7"/>
    <w:rsid w:val="000903DC"/>
    <w:rsid w:val="00090C1A"/>
    <w:rsid w:val="000A1401"/>
    <w:rsid w:val="000F6A08"/>
    <w:rsid w:val="0010023A"/>
    <w:rsid w:val="00107930"/>
    <w:rsid w:val="00112D62"/>
    <w:rsid w:val="0011604E"/>
    <w:rsid w:val="00154F16"/>
    <w:rsid w:val="00172736"/>
    <w:rsid w:val="00183007"/>
    <w:rsid w:val="001D1FA9"/>
    <w:rsid w:val="00200248"/>
    <w:rsid w:val="00203AD0"/>
    <w:rsid w:val="00205AA5"/>
    <w:rsid w:val="002118F8"/>
    <w:rsid w:val="00226A7D"/>
    <w:rsid w:val="002532BA"/>
    <w:rsid w:val="00255060"/>
    <w:rsid w:val="0027093D"/>
    <w:rsid w:val="002712D0"/>
    <w:rsid w:val="002770EA"/>
    <w:rsid w:val="0028619D"/>
    <w:rsid w:val="002D6308"/>
    <w:rsid w:val="002E7061"/>
    <w:rsid w:val="00310822"/>
    <w:rsid w:val="0031317E"/>
    <w:rsid w:val="0032205F"/>
    <w:rsid w:val="0034473C"/>
    <w:rsid w:val="00385AD6"/>
    <w:rsid w:val="003B16FB"/>
    <w:rsid w:val="003C22C1"/>
    <w:rsid w:val="003C36F5"/>
    <w:rsid w:val="003C4DF3"/>
    <w:rsid w:val="003D0B23"/>
    <w:rsid w:val="003F25B2"/>
    <w:rsid w:val="00400961"/>
    <w:rsid w:val="00407DAE"/>
    <w:rsid w:val="00420AA8"/>
    <w:rsid w:val="00493AB0"/>
    <w:rsid w:val="00493E46"/>
    <w:rsid w:val="004A3858"/>
    <w:rsid w:val="004B31F3"/>
    <w:rsid w:val="005037AE"/>
    <w:rsid w:val="0054509A"/>
    <w:rsid w:val="005A42E8"/>
    <w:rsid w:val="005B6C5B"/>
    <w:rsid w:val="00633392"/>
    <w:rsid w:val="00684F0E"/>
    <w:rsid w:val="006A2B72"/>
    <w:rsid w:val="006A7B93"/>
    <w:rsid w:val="006E27C0"/>
    <w:rsid w:val="007414FC"/>
    <w:rsid w:val="007651AE"/>
    <w:rsid w:val="007A309B"/>
    <w:rsid w:val="007D76BA"/>
    <w:rsid w:val="007F129C"/>
    <w:rsid w:val="00801124"/>
    <w:rsid w:val="00803C18"/>
    <w:rsid w:val="008136EC"/>
    <w:rsid w:val="00832AA9"/>
    <w:rsid w:val="00844B64"/>
    <w:rsid w:val="008579EB"/>
    <w:rsid w:val="00865E41"/>
    <w:rsid w:val="00874A8F"/>
    <w:rsid w:val="00875B0A"/>
    <w:rsid w:val="008A271A"/>
    <w:rsid w:val="008E63DB"/>
    <w:rsid w:val="00927DD4"/>
    <w:rsid w:val="009730E8"/>
    <w:rsid w:val="00984EA3"/>
    <w:rsid w:val="009927A5"/>
    <w:rsid w:val="009B224F"/>
    <w:rsid w:val="009B451E"/>
    <w:rsid w:val="009B5280"/>
    <w:rsid w:val="00A04C71"/>
    <w:rsid w:val="00A144FE"/>
    <w:rsid w:val="00A17FA0"/>
    <w:rsid w:val="00A94C68"/>
    <w:rsid w:val="00A95342"/>
    <w:rsid w:val="00AA7712"/>
    <w:rsid w:val="00AC51AB"/>
    <w:rsid w:val="00B1214B"/>
    <w:rsid w:val="00B32A42"/>
    <w:rsid w:val="00B43BED"/>
    <w:rsid w:val="00B5195D"/>
    <w:rsid w:val="00B82A8F"/>
    <w:rsid w:val="00BB340A"/>
    <w:rsid w:val="00BB46F3"/>
    <w:rsid w:val="00BF1267"/>
    <w:rsid w:val="00BF2FDC"/>
    <w:rsid w:val="00C92045"/>
    <w:rsid w:val="00CC7EC4"/>
    <w:rsid w:val="00D25AE8"/>
    <w:rsid w:val="00D529CA"/>
    <w:rsid w:val="00D56AB6"/>
    <w:rsid w:val="00D83B17"/>
    <w:rsid w:val="00D92847"/>
    <w:rsid w:val="00DA7E94"/>
    <w:rsid w:val="00DB28B4"/>
    <w:rsid w:val="00DB5EE7"/>
    <w:rsid w:val="00DC44E5"/>
    <w:rsid w:val="00DD2564"/>
    <w:rsid w:val="00E6776A"/>
    <w:rsid w:val="00EB6E07"/>
    <w:rsid w:val="00EC49B5"/>
    <w:rsid w:val="00ED11F0"/>
    <w:rsid w:val="00EE39D3"/>
    <w:rsid w:val="00F12B8E"/>
    <w:rsid w:val="00F275F4"/>
    <w:rsid w:val="00F658A0"/>
    <w:rsid w:val="00F706B5"/>
    <w:rsid w:val="00F9710C"/>
    <w:rsid w:val="00FA22CA"/>
    <w:rsid w:val="00FA5B45"/>
    <w:rsid w:val="00FD6C5C"/>
    <w:rsid w:val="00FF67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E8"/>
    <w:pPr>
      <w:suppressAutoHyphens/>
    </w:pPr>
    <w:rPr>
      <w:sz w:val="24"/>
      <w:lang w:val="fr-FR" w:eastAsia="fr-FR"/>
    </w:rPr>
  </w:style>
  <w:style w:type="paragraph" w:styleId="Heading1">
    <w:name w:val="heading 1"/>
    <w:basedOn w:val="Normal"/>
    <w:next w:val="Normal"/>
    <w:qFormat/>
    <w:rsid w:val="005A42E8"/>
    <w:pPr>
      <w:keepNext/>
      <w:spacing w:before="360" w:after="240"/>
      <w:jc w:val="center"/>
      <w:outlineLvl w:val="0"/>
    </w:pPr>
    <w:rPr>
      <w:b/>
      <w:sz w:val="28"/>
    </w:rPr>
  </w:style>
  <w:style w:type="paragraph" w:styleId="Heading2">
    <w:name w:val="heading 2"/>
    <w:basedOn w:val="Normal"/>
    <w:next w:val="Normal"/>
    <w:qFormat/>
    <w:rsid w:val="005A42E8"/>
    <w:pPr>
      <w:keepNext/>
      <w:spacing w:before="240" w:after="120"/>
      <w:ind w:left="284" w:hanging="284"/>
      <w:outlineLvl w:val="1"/>
    </w:pPr>
    <w:rPr>
      <w:b/>
    </w:rPr>
  </w:style>
  <w:style w:type="paragraph" w:styleId="Heading3">
    <w:name w:val="heading 3"/>
    <w:basedOn w:val="Normal"/>
    <w:next w:val="Normal"/>
    <w:qFormat/>
    <w:rsid w:val="005A42E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5A42E8"/>
  </w:style>
  <w:style w:type="table" w:default="1" w:styleId="TableNormal">
    <w:name w:val="Normal Table"/>
    <w:semiHidden/>
    <w:rsid w:val="005A42E8"/>
    <w:tblPr>
      <w:tblInd w:w="0" w:type="dxa"/>
      <w:tblCellMar>
        <w:top w:w="0" w:type="dxa"/>
        <w:left w:w="108" w:type="dxa"/>
        <w:bottom w:w="0" w:type="dxa"/>
        <w:right w:w="108" w:type="dxa"/>
      </w:tblCellMar>
    </w:tblPr>
  </w:style>
  <w:style w:type="numbering" w:default="1" w:styleId="NoList">
    <w:name w:val="No List"/>
    <w:semiHidden/>
    <w:rsid w:val="005A42E8"/>
  </w:style>
  <w:style w:type="paragraph" w:styleId="Header">
    <w:name w:val="header"/>
    <w:basedOn w:val="Normal"/>
    <w:rsid w:val="000903DC"/>
    <w:pPr>
      <w:tabs>
        <w:tab w:val="center" w:pos="3686"/>
        <w:tab w:val="right" w:pos="7371"/>
      </w:tabs>
    </w:pPr>
    <w:rPr>
      <w:sz w:val="18"/>
    </w:rPr>
  </w:style>
  <w:style w:type="paragraph" w:styleId="FootnoteText">
    <w:name w:val="footnote text"/>
    <w:basedOn w:val="Normal"/>
    <w:semiHidden/>
    <w:rsid w:val="000903DC"/>
    <w:pPr>
      <w:jc w:val="both"/>
    </w:pPr>
    <w:rPr>
      <w:sz w:val="20"/>
    </w:rPr>
  </w:style>
  <w:style w:type="paragraph" w:styleId="Footer">
    <w:name w:val="footer"/>
    <w:basedOn w:val="Normal"/>
    <w:rsid w:val="000903DC"/>
    <w:pPr>
      <w:tabs>
        <w:tab w:val="center" w:pos="3686"/>
        <w:tab w:val="right" w:pos="7371"/>
      </w:tabs>
    </w:pPr>
    <w:rPr>
      <w:sz w:val="18"/>
    </w:rPr>
  </w:style>
  <w:style w:type="character" w:styleId="PageNumber">
    <w:name w:val="page number"/>
    <w:rsid w:val="000903DC"/>
    <w:rPr>
      <w:rFonts w:ascii="Times New Roman" w:hAnsi="Times New Roman" w:cs="Times New Roman"/>
      <w:sz w:val="18"/>
    </w:rPr>
  </w:style>
  <w:style w:type="paragraph" w:customStyle="1" w:styleId="JuParaChar">
    <w:name w:val="Ju_Para Char"/>
    <w:basedOn w:val="Normal"/>
    <w:link w:val="JuParaCharChar"/>
    <w:rsid w:val="005A42E8"/>
    <w:pPr>
      <w:ind w:firstLine="284"/>
      <w:jc w:val="both"/>
    </w:pPr>
  </w:style>
  <w:style w:type="character" w:customStyle="1" w:styleId="JuParaCharChar">
    <w:name w:val="Ju_Para Char Char"/>
    <w:link w:val="JuParaChar"/>
    <w:rsid w:val="00226A7D"/>
    <w:rPr>
      <w:sz w:val="24"/>
      <w:lang w:val="fr-FR" w:eastAsia="fr-FR" w:bidi="ar-SA"/>
    </w:rPr>
  </w:style>
  <w:style w:type="character" w:styleId="FootnoteReference">
    <w:name w:val="footnote reference"/>
    <w:semiHidden/>
    <w:rsid w:val="000903DC"/>
    <w:rPr>
      <w:rFonts w:ascii="Times New Roman" w:hAnsi="Times New Roman" w:cs="Times New Roman"/>
      <w:vertAlign w:val="superscript"/>
    </w:rPr>
  </w:style>
  <w:style w:type="paragraph" w:customStyle="1" w:styleId="JuCase">
    <w:name w:val="Ju_Case"/>
    <w:basedOn w:val="JuPara"/>
    <w:next w:val="JuPara"/>
    <w:rsid w:val="000903DC"/>
    <w:rPr>
      <w:b/>
    </w:rPr>
  </w:style>
  <w:style w:type="paragraph" w:customStyle="1" w:styleId="JuPara">
    <w:name w:val="Ju_Para"/>
    <w:aliases w:val="Left,First line:  0 cm"/>
    <w:basedOn w:val="NormalTimesNewRoman"/>
    <w:rsid w:val="000903DC"/>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rsid w:val="000903DC"/>
    <w:pPr>
      <w:tabs>
        <w:tab w:val="left" w:pos="567"/>
        <w:tab w:val="left" w:pos="1134"/>
      </w:tabs>
    </w:pPr>
  </w:style>
  <w:style w:type="paragraph" w:customStyle="1" w:styleId="JuCourt">
    <w:name w:val="Ju_Court"/>
    <w:basedOn w:val="JuJudges"/>
    <w:rsid w:val="000903DC"/>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0903DC"/>
    <w:pPr>
      <w:keepNext/>
      <w:keepLines/>
      <w:spacing w:before="720" w:after="240"/>
      <w:jc w:val="both"/>
      <w:outlineLvl w:val="0"/>
    </w:pPr>
    <w:rPr>
      <w:sz w:val="28"/>
    </w:rPr>
  </w:style>
  <w:style w:type="paragraph" w:customStyle="1" w:styleId="JuHIRoman">
    <w:name w:val="Ju_H_I_Roman"/>
    <w:basedOn w:val="JuHHead"/>
    <w:next w:val="JuPara"/>
    <w:rsid w:val="000903DC"/>
    <w:pPr>
      <w:tabs>
        <w:tab w:val="left" w:pos="357"/>
      </w:tabs>
      <w:spacing w:before="360"/>
      <w:ind w:left="357" w:hanging="357"/>
      <w:outlineLvl w:val="1"/>
    </w:pPr>
    <w:rPr>
      <w:sz w:val="24"/>
    </w:rPr>
  </w:style>
  <w:style w:type="paragraph" w:customStyle="1" w:styleId="JuHA">
    <w:name w:val="Ju_H_A"/>
    <w:basedOn w:val="JuHIRoman"/>
    <w:next w:val="JuPara"/>
    <w:rsid w:val="000903DC"/>
    <w:pPr>
      <w:tabs>
        <w:tab w:val="clear" w:pos="357"/>
        <w:tab w:val="left" w:pos="584"/>
      </w:tabs>
      <w:ind w:left="584" w:hanging="352"/>
      <w:outlineLvl w:val="2"/>
    </w:pPr>
    <w:rPr>
      <w:b/>
    </w:rPr>
  </w:style>
  <w:style w:type="paragraph" w:customStyle="1" w:styleId="JuHa0">
    <w:name w:val="Ju_H_a"/>
    <w:basedOn w:val="JuH1"/>
    <w:next w:val="JuPara"/>
    <w:rsid w:val="000903DC"/>
    <w:pPr>
      <w:tabs>
        <w:tab w:val="clear" w:pos="731"/>
        <w:tab w:val="left" w:pos="975"/>
      </w:tabs>
      <w:ind w:left="975" w:hanging="340"/>
      <w:outlineLvl w:val="4"/>
    </w:pPr>
    <w:rPr>
      <w:b/>
      <w:i w:val="0"/>
      <w:sz w:val="20"/>
    </w:rPr>
  </w:style>
  <w:style w:type="paragraph" w:customStyle="1" w:styleId="JuH1">
    <w:name w:val="Ju_H_1."/>
    <w:basedOn w:val="JuHA"/>
    <w:next w:val="JuPara"/>
    <w:rsid w:val="000903DC"/>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0903DC"/>
    <w:pPr>
      <w:tabs>
        <w:tab w:val="clear" w:pos="975"/>
        <w:tab w:val="left" w:pos="1191"/>
      </w:tabs>
      <w:ind w:left="1190" w:hanging="357"/>
      <w:outlineLvl w:val="5"/>
    </w:pPr>
    <w:rPr>
      <w:b w:val="0"/>
      <w:i/>
    </w:rPr>
  </w:style>
  <w:style w:type="paragraph" w:customStyle="1" w:styleId="JuHalpha">
    <w:name w:val="Ju_H_alpha"/>
    <w:basedOn w:val="JuHi"/>
    <w:next w:val="JuPara"/>
    <w:rsid w:val="000903DC"/>
    <w:pPr>
      <w:tabs>
        <w:tab w:val="clear" w:pos="1191"/>
        <w:tab w:val="left" w:pos="1372"/>
      </w:tabs>
      <w:ind w:left="1373" w:hanging="335"/>
      <w:outlineLvl w:val="9"/>
    </w:pPr>
    <w:rPr>
      <w:i w:val="0"/>
    </w:rPr>
  </w:style>
  <w:style w:type="paragraph" w:customStyle="1" w:styleId="JuH">
    <w:name w:val="Ju_H_–"/>
    <w:basedOn w:val="JuHalpha"/>
    <w:next w:val="JuPara"/>
    <w:rsid w:val="000903DC"/>
    <w:pPr>
      <w:tabs>
        <w:tab w:val="clear" w:pos="1372"/>
      </w:tabs>
      <w:ind w:left="1236" w:firstLine="0"/>
    </w:pPr>
    <w:rPr>
      <w:i/>
    </w:rPr>
  </w:style>
  <w:style w:type="paragraph" w:customStyle="1" w:styleId="JuHArticle">
    <w:name w:val="Ju_H_Article"/>
    <w:basedOn w:val="JuHa0"/>
    <w:next w:val="JuQuot"/>
    <w:rsid w:val="000903DC"/>
    <w:pPr>
      <w:ind w:left="0" w:firstLine="0"/>
      <w:jc w:val="center"/>
    </w:pPr>
  </w:style>
  <w:style w:type="paragraph" w:customStyle="1" w:styleId="JuQuot">
    <w:name w:val="Ju_Quot"/>
    <w:basedOn w:val="JuPara"/>
    <w:link w:val="JuQuotChar"/>
    <w:rsid w:val="000903DC"/>
    <w:pPr>
      <w:spacing w:before="120" w:after="120"/>
      <w:ind w:left="425" w:firstLine="142"/>
    </w:pPr>
    <w:rPr>
      <w:sz w:val="20"/>
    </w:rPr>
  </w:style>
  <w:style w:type="paragraph" w:customStyle="1" w:styleId="JuHeader">
    <w:name w:val="Ju_Header"/>
    <w:basedOn w:val="Header"/>
    <w:rsid w:val="000903DC"/>
  </w:style>
  <w:style w:type="paragraph" w:customStyle="1" w:styleId="JuSigned">
    <w:name w:val="Ju_Signed"/>
    <w:basedOn w:val="NormalTimesNewRoman"/>
    <w:next w:val="JuParaLast"/>
    <w:rsid w:val="000903DC"/>
    <w:pPr>
      <w:tabs>
        <w:tab w:val="center" w:pos="851"/>
        <w:tab w:val="center" w:pos="6407"/>
      </w:tabs>
      <w:spacing w:before="720"/>
    </w:pPr>
  </w:style>
  <w:style w:type="paragraph" w:customStyle="1" w:styleId="JuParaLast">
    <w:name w:val="Ju_Para_Last"/>
    <w:basedOn w:val="JuPara"/>
    <w:next w:val="JuPara"/>
    <w:link w:val="JuParaLastChar"/>
    <w:rsid w:val="000903DC"/>
    <w:pPr>
      <w:keepNext/>
      <w:keepLines/>
      <w:spacing w:before="240"/>
    </w:pPr>
  </w:style>
  <w:style w:type="paragraph" w:customStyle="1" w:styleId="JuInitialled">
    <w:name w:val="Ju_Initialled"/>
    <w:basedOn w:val="JuSigned"/>
    <w:rsid w:val="000903DC"/>
    <w:pPr>
      <w:tabs>
        <w:tab w:val="clear" w:pos="851"/>
      </w:tabs>
      <w:jc w:val="right"/>
    </w:pPr>
  </w:style>
  <w:style w:type="paragraph" w:customStyle="1" w:styleId="JuList">
    <w:name w:val="Ju_List"/>
    <w:basedOn w:val="JuPara"/>
    <w:rsid w:val="000903DC"/>
    <w:pPr>
      <w:ind w:left="340" w:hanging="340"/>
    </w:pPr>
  </w:style>
  <w:style w:type="paragraph" w:customStyle="1" w:styleId="JuLista">
    <w:name w:val="Ju_List_a"/>
    <w:basedOn w:val="JuList"/>
    <w:rsid w:val="000903DC"/>
    <w:pPr>
      <w:ind w:left="346" w:firstLine="0"/>
    </w:pPr>
  </w:style>
  <w:style w:type="paragraph" w:customStyle="1" w:styleId="JuListi">
    <w:name w:val="Ju_List_i"/>
    <w:basedOn w:val="JuLista"/>
    <w:rsid w:val="000903DC"/>
    <w:pPr>
      <w:ind w:left="794"/>
    </w:pPr>
  </w:style>
  <w:style w:type="paragraph" w:styleId="DocumentMap">
    <w:name w:val="Document Map"/>
    <w:basedOn w:val="Normal"/>
    <w:semiHidden/>
    <w:rsid w:val="0011604E"/>
    <w:pPr>
      <w:shd w:val="clear" w:color="auto" w:fill="000080"/>
    </w:pPr>
    <w:rPr>
      <w:rFonts w:ascii="Tahoma" w:hAnsi="Tahoma" w:cs="Tahoma"/>
      <w:sz w:val="20"/>
    </w:rPr>
  </w:style>
  <w:style w:type="paragraph" w:customStyle="1" w:styleId="OpiParaSub">
    <w:name w:val="Opi_Para_Sub"/>
    <w:basedOn w:val="JuParaSub"/>
    <w:rsid w:val="00A95342"/>
  </w:style>
  <w:style w:type="paragraph" w:customStyle="1" w:styleId="JuParaSub">
    <w:name w:val="Ju_Para_Sub"/>
    <w:basedOn w:val="JuPara"/>
    <w:rsid w:val="000903DC"/>
    <w:pPr>
      <w:ind w:left="284"/>
    </w:pPr>
  </w:style>
  <w:style w:type="paragraph" w:customStyle="1" w:styleId="OpiHA">
    <w:name w:val="Opi_H_A"/>
    <w:basedOn w:val="JuHIRoman"/>
    <w:next w:val="OpiPara"/>
    <w:rsid w:val="00A95342"/>
    <w:pPr>
      <w:tabs>
        <w:tab w:val="clear" w:pos="357"/>
      </w:tabs>
    </w:pPr>
    <w:rPr>
      <w:b/>
    </w:rPr>
  </w:style>
  <w:style w:type="paragraph" w:customStyle="1" w:styleId="OpiPara">
    <w:name w:val="Opi_Para"/>
    <w:basedOn w:val="JuPara"/>
    <w:rsid w:val="00A95342"/>
  </w:style>
  <w:style w:type="paragraph" w:customStyle="1" w:styleId="OpiH1">
    <w:name w:val="Opi_H_1."/>
    <w:basedOn w:val="OpiHA"/>
    <w:next w:val="OpiPara"/>
    <w:rsid w:val="00A95342"/>
    <w:pPr>
      <w:spacing w:before="240" w:after="120"/>
      <w:ind w:left="635"/>
      <w:outlineLvl w:val="2"/>
    </w:pPr>
    <w:rPr>
      <w:b w:val="0"/>
      <w:i/>
    </w:rPr>
  </w:style>
  <w:style w:type="paragraph" w:customStyle="1" w:styleId="OpiHa0">
    <w:name w:val="Opi_H_a"/>
    <w:basedOn w:val="OpiH1"/>
    <w:next w:val="OpiPara"/>
    <w:rsid w:val="00A95342"/>
    <w:pPr>
      <w:ind w:left="833"/>
      <w:outlineLvl w:val="3"/>
    </w:pPr>
    <w:rPr>
      <w:b/>
      <w:i w:val="0"/>
      <w:sz w:val="20"/>
    </w:rPr>
  </w:style>
  <w:style w:type="paragraph" w:customStyle="1" w:styleId="OpiHHead">
    <w:name w:val="Opi_H_Head"/>
    <w:basedOn w:val="JuHHead"/>
    <w:next w:val="OpiPara"/>
    <w:rsid w:val="00A95342"/>
    <w:pPr>
      <w:spacing w:before="0"/>
      <w:jc w:val="center"/>
    </w:pPr>
  </w:style>
  <w:style w:type="paragraph" w:customStyle="1" w:styleId="OpiHi">
    <w:name w:val="Opi_H_i"/>
    <w:basedOn w:val="OpiHa0"/>
    <w:next w:val="OpiPara"/>
    <w:rsid w:val="00A95342"/>
    <w:pPr>
      <w:ind w:left="1037"/>
      <w:outlineLvl w:val="4"/>
    </w:pPr>
    <w:rPr>
      <w:b w:val="0"/>
      <w:i/>
    </w:rPr>
  </w:style>
  <w:style w:type="paragraph" w:customStyle="1" w:styleId="OpiQuot">
    <w:name w:val="Opi_Quot"/>
    <w:basedOn w:val="JuQuot"/>
    <w:rsid w:val="00A95342"/>
  </w:style>
  <w:style w:type="paragraph" w:customStyle="1" w:styleId="OpiTranslation">
    <w:name w:val="Opi_Translation"/>
    <w:basedOn w:val="OpiHHead"/>
    <w:next w:val="OpiPara"/>
    <w:rsid w:val="00A95342"/>
    <w:rPr>
      <w:i/>
      <w:sz w:val="24"/>
    </w:rPr>
  </w:style>
  <w:style w:type="paragraph" w:customStyle="1" w:styleId="DecHTitle">
    <w:name w:val="Dec_H_Title"/>
    <w:basedOn w:val="Normal"/>
    <w:rsid w:val="0027093D"/>
    <w:pPr>
      <w:suppressAutoHyphens w:val="0"/>
      <w:spacing w:after="240"/>
      <w:jc w:val="center"/>
      <w:outlineLvl w:val="0"/>
    </w:pPr>
    <w:rPr>
      <w:sz w:val="28"/>
    </w:rPr>
  </w:style>
  <w:style w:type="paragraph" w:customStyle="1" w:styleId="DecHCase">
    <w:name w:val="Dec_H_Case"/>
    <w:basedOn w:val="DecHTitle"/>
    <w:next w:val="JuPara"/>
    <w:rsid w:val="00A95342"/>
    <w:rPr>
      <w:sz w:val="24"/>
    </w:rPr>
  </w:style>
  <w:style w:type="paragraph" w:customStyle="1" w:styleId="DecList">
    <w:name w:val="Dec_List"/>
    <w:basedOn w:val="Normal"/>
    <w:rsid w:val="0027093D"/>
    <w:pPr>
      <w:spacing w:before="240"/>
      <w:ind w:left="284"/>
      <w:jc w:val="both"/>
    </w:pPr>
  </w:style>
  <w:style w:type="paragraph" w:customStyle="1" w:styleId="JuQuotSub">
    <w:name w:val="Ju_Quot_Sub"/>
    <w:basedOn w:val="JuQuot"/>
    <w:rsid w:val="000903DC"/>
    <w:pPr>
      <w:ind w:left="567"/>
    </w:pPr>
  </w:style>
  <w:style w:type="paragraph" w:customStyle="1" w:styleId="SuCoverTitle1">
    <w:name w:val="Su_Cover_Title1"/>
    <w:basedOn w:val="Normal"/>
    <w:next w:val="SuCoverTitle2"/>
    <w:rsid w:val="0027093D"/>
    <w:pPr>
      <w:spacing w:before="2500"/>
      <w:jc w:val="center"/>
    </w:pPr>
    <w:rPr>
      <w:sz w:val="22"/>
    </w:rPr>
  </w:style>
  <w:style w:type="paragraph" w:customStyle="1" w:styleId="SuCoverTitle2">
    <w:name w:val="Su_Cover_Title2"/>
    <w:basedOn w:val="SuCoverTitle1"/>
    <w:next w:val="Normal"/>
    <w:rsid w:val="001D1FA9"/>
    <w:pPr>
      <w:spacing w:before="240"/>
    </w:pPr>
    <w:rPr>
      <w:sz w:val="18"/>
    </w:rPr>
  </w:style>
  <w:style w:type="paragraph" w:customStyle="1" w:styleId="SuPara">
    <w:name w:val="Su_Para"/>
    <w:basedOn w:val="SuKeywords"/>
    <w:rsid w:val="001D1FA9"/>
    <w:pPr>
      <w:spacing w:before="0" w:after="0"/>
    </w:pPr>
    <w:rPr>
      <w:i w:val="0"/>
    </w:rPr>
  </w:style>
  <w:style w:type="paragraph" w:customStyle="1" w:styleId="SuKeywords">
    <w:name w:val="Su_Keywords"/>
    <w:basedOn w:val="SuHHead"/>
    <w:rsid w:val="001D1FA9"/>
    <w:pPr>
      <w:spacing w:before="120"/>
    </w:pPr>
    <w:rPr>
      <w:b w:val="0"/>
      <w:i/>
    </w:rPr>
  </w:style>
  <w:style w:type="paragraph" w:customStyle="1" w:styleId="SuHHead">
    <w:name w:val="Su_H_Head"/>
    <w:basedOn w:val="SuSubject"/>
    <w:rsid w:val="001D1FA9"/>
    <w:pPr>
      <w:spacing w:after="120"/>
    </w:pPr>
  </w:style>
  <w:style w:type="paragraph" w:customStyle="1" w:styleId="SuSubject">
    <w:name w:val="Su_Subject"/>
    <w:basedOn w:val="SuSummary"/>
    <w:rsid w:val="001D1FA9"/>
    <w:pPr>
      <w:suppressAutoHyphens w:val="0"/>
      <w:spacing w:before="360"/>
      <w:jc w:val="both"/>
    </w:pPr>
    <w:rPr>
      <w:b/>
      <w:sz w:val="22"/>
      <w:lang w:val="en-GB"/>
    </w:rPr>
  </w:style>
  <w:style w:type="paragraph" w:customStyle="1" w:styleId="SuSummary">
    <w:name w:val="Su_Summary"/>
    <w:basedOn w:val="Normal"/>
    <w:next w:val="SuSubject"/>
    <w:rsid w:val="0027093D"/>
    <w:pPr>
      <w:spacing w:after="240"/>
      <w:jc w:val="center"/>
    </w:pPr>
  </w:style>
  <w:style w:type="paragraph" w:styleId="BalloonText">
    <w:name w:val="Balloon Text"/>
    <w:basedOn w:val="Normal"/>
    <w:semiHidden/>
    <w:rsid w:val="002712D0"/>
    <w:rPr>
      <w:rFonts w:ascii="Tahoma" w:hAnsi="Tahoma" w:cs="Tahoma"/>
      <w:sz w:val="16"/>
      <w:szCs w:val="16"/>
    </w:rPr>
  </w:style>
  <w:style w:type="character" w:styleId="EndnoteReference">
    <w:name w:val="endnote reference"/>
    <w:semiHidden/>
    <w:rsid w:val="000903DC"/>
    <w:rPr>
      <w:rFonts w:ascii="Times New Roman" w:hAnsi="Times New Roman" w:cs="Times New Roman"/>
      <w:vertAlign w:val="superscript"/>
    </w:rPr>
  </w:style>
  <w:style w:type="paragraph" w:styleId="EndnoteText">
    <w:name w:val="endnote text"/>
    <w:basedOn w:val="Normal"/>
    <w:semiHidden/>
    <w:rsid w:val="000903DC"/>
    <w:rPr>
      <w:sz w:val="20"/>
    </w:rPr>
  </w:style>
  <w:style w:type="character" w:styleId="FollowedHyperlink">
    <w:name w:val="FollowedHyperlink"/>
    <w:rsid w:val="000903DC"/>
    <w:rPr>
      <w:rFonts w:ascii="Times New Roman" w:hAnsi="Times New Roman" w:cs="Times New Roman"/>
      <w:color w:val="800080"/>
      <w:u w:val="single"/>
    </w:rPr>
  </w:style>
  <w:style w:type="character" w:styleId="Hyperlink">
    <w:name w:val="Hyperlink"/>
    <w:rsid w:val="000903DC"/>
    <w:rPr>
      <w:rFonts w:ascii="Times New Roman" w:hAnsi="Times New Roman" w:cs="Times New Roman"/>
      <w:color w:val="0000FF"/>
      <w:u w:val="single"/>
    </w:rPr>
  </w:style>
  <w:style w:type="paragraph" w:customStyle="1" w:styleId="OpiQuotSub">
    <w:name w:val="Opi_Quot_Sub"/>
    <w:basedOn w:val="JuQuotSub"/>
    <w:rsid w:val="00A95342"/>
  </w:style>
  <w:style w:type="paragraph" w:customStyle="1" w:styleId="JuAppQuestion">
    <w:name w:val="Ju_App_Question"/>
    <w:basedOn w:val="ListBullet"/>
    <w:rsid w:val="000903DC"/>
    <w:pPr>
      <w:numPr>
        <w:numId w:val="4"/>
      </w:numPr>
      <w:suppressAutoHyphens w:val="0"/>
    </w:pPr>
    <w:rPr>
      <w:b/>
      <w:color w:val="333333"/>
      <w:lang w:val="en-GB"/>
    </w:rPr>
  </w:style>
  <w:style w:type="paragraph" w:styleId="ListBullet">
    <w:name w:val="List Bullet"/>
    <w:basedOn w:val="Normal"/>
    <w:rsid w:val="001D1FA9"/>
    <w:pPr>
      <w:numPr>
        <w:numId w:val="1"/>
      </w:numPr>
    </w:pPr>
  </w:style>
  <w:style w:type="character" w:customStyle="1" w:styleId="JuNames">
    <w:name w:val="Ju_Names"/>
    <w:rsid w:val="000903DC"/>
    <w:rPr>
      <w:rFonts w:ascii="Times New Roman" w:hAnsi="Times New Roman" w:cs="Times New Roman"/>
      <w:smallCaps/>
    </w:rPr>
  </w:style>
  <w:style w:type="character" w:customStyle="1" w:styleId="JuITMark">
    <w:name w:val="Ju_ITMark"/>
    <w:rsid w:val="000903DC"/>
    <w:rPr>
      <w:rFonts w:ascii="Times New Roman" w:hAnsi="Times New Roman" w:cs="Times New Roman"/>
      <w:vanish/>
      <w:color w:val="339966"/>
      <w:sz w:val="16"/>
      <w:szCs w:val="16"/>
      <w:lang w:val="fi-FI"/>
    </w:rPr>
  </w:style>
  <w:style w:type="character" w:customStyle="1" w:styleId="JuHHeadChar">
    <w:name w:val="Ju_H_Head Char"/>
    <w:link w:val="JuHHead"/>
    <w:rsid w:val="002E7061"/>
    <w:rPr>
      <w:sz w:val="28"/>
      <w:lang w:val="fr-FR" w:eastAsia="fr-FR" w:bidi="ar-SA"/>
    </w:rPr>
  </w:style>
  <w:style w:type="character" w:customStyle="1" w:styleId="DefaultTimesNewRoman">
    <w:name w:val="Default_TimesNewRoman"/>
    <w:rsid w:val="000903DC"/>
    <w:rPr>
      <w:rFonts w:ascii="Times New Roman" w:hAnsi="Times New Roman" w:cs="Times New Roman"/>
    </w:rPr>
  </w:style>
  <w:style w:type="paragraph" w:customStyle="1" w:styleId="NormalTimesNewRoman">
    <w:name w:val="Normal_TimesNewRoman"/>
    <w:rsid w:val="000903DC"/>
    <w:rPr>
      <w:sz w:val="24"/>
      <w:lang w:val="fr-FR" w:eastAsia="fr-FR"/>
    </w:rPr>
  </w:style>
  <w:style w:type="paragraph" w:customStyle="1" w:styleId="JuTitle">
    <w:name w:val="Ju_Title"/>
    <w:basedOn w:val="JuHHead"/>
    <w:next w:val="JuPara"/>
    <w:link w:val="JuTitleChar"/>
    <w:rsid w:val="000903DC"/>
    <w:pPr>
      <w:jc w:val="center"/>
    </w:pPr>
    <w:rPr>
      <w:b/>
      <w:caps/>
      <w:sz w:val="24"/>
      <w:szCs w:val="24"/>
      <w:u w:val="single"/>
    </w:rPr>
  </w:style>
  <w:style w:type="character" w:customStyle="1" w:styleId="JuTitleChar">
    <w:name w:val="Ju_Title Char"/>
    <w:link w:val="JuTitle"/>
    <w:rsid w:val="00407DAE"/>
    <w:rPr>
      <w:b/>
      <w:caps/>
      <w:sz w:val="24"/>
      <w:szCs w:val="24"/>
      <w:u w:val="single"/>
      <w:lang w:val="fr-FR" w:eastAsia="fr-FR" w:bidi="ar-SA"/>
    </w:rPr>
  </w:style>
  <w:style w:type="character" w:customStyle="1" w:styleId="JuParaLastChar">
    <w:name w:val="Ju_Para_Last Char"/>
    <w:link w:val="JuParaLast"/>
    <w:rsid w:val="00183007"/>
    <w:rPr>
      <w:sz w:val="24"/>
      <w:lang w:val="fr-FR" w:eastAsia="fr-FR"/>
    </w:rPr>
  </w:style>
  <w:style w:type="character" w:customStyle="1" w:styleId="sb8d990e2">
    <w:name w:val="sb8d990e2"/>
    <w:rsid w:val="00183007"/>
  </w:style>
  <w:style w:type="character" w:customStyle="1" w:styleId="s6b621b36">
    <w:name w:val="s6b621b36"/>
    <w:rsid w:val="00183007"/>
  </w:style>
  <w:style w:type="character" w:customStyle="1" w:styleId="JuQuotChar">
    <w:name w:val="Ju_Quot Char"/>
    <w:link w:val="JuQuot"/>
    <w:rsid w:val="00183007"/>
    <w:rPr>
      <w:lang w:val="fr-FR" w:eastAsia="fr-FR"/>
    </w:rPr>
  </w:style>
  <w:style w:type="character" w:customStyle="1" w:styleId="wordhighlightedcurrentterm">
    <w:name w:val="wordhighlighted currentterm"/>
    <w:rsid w:val="00183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2E8"/>
    <w:pPr>
      <w:suppressAutoHyphens/>
    </w:pPr>
    <w:rPr>
      <w:sz w:val="24"/>
      <w:lang w:val="fr-FR" w:eastAsia="fr-FR"/>
    </w:rPr>
  </w:style>
  <w:style w:type="paragraph" w:styleId="Heading1">
    <w:name w:val="heading 1"/>
    <w:basedOn w:val="Normal"/>
    <w:next w:val="Normal"/>
    <w:qFormat/>
    <w:rsid w:val="005A42E8"/>
    <w:pPr>
      <w:keepNext/>
      <w:spacing w:before="360" w:after="240"/>
      <w:jc w:val="center"/>
      <w:outlineLvl w:val="0"/>
    </w:pPr>
    <w:rPr>
      <w:b/>
      <w:sz w:val="28"/>
    </w:rPr>
  </w:style>
  <w:style w:type="paragraph" w:styleId="Heading2">
    <w:name w:val="heading 2"/>
    <w:basedOn w:val="Normal"/>
    <w:next w:val="Normal"/>
    <w:qFormat/>
    <w:rsid w:val="005A42E8"/>
    <w:pPr>
      <w:keepNext/>
      <w:spacing w:before="240" w:after="120"/>
      <w:ind w:left="284" w:hanging="284"/>
      <w:outlineLvl w:val="1"/>
    </w:pPr>
    <w:rPr>
      <w:b/>
    </w:rPr>
  </w:style>
  <w:style w:type="paragraph" w:styleId="Heading3">
    <w:name w:val="heading 3"/>
    <w:basedOn w:val="Normal"/>
    <w:next w:val="Normal"/>
    <w:qFormat/>
    <w:rsid w:val="005A42E8"/>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rsid w:val="005A42E8"/>
  </w:style>
  <w:style w:type="table" w:default="1" w:styleId="TableNormal">
    <w:name w:val="Normal Table"/>
    <w:semiHidden/>
    <w:rsid w:val="005A42E8"/>
    <w:tblPr>
      <w:tblInd w:w="0" w:type="dxa"/>
      <w:tblCellMar>
        <w:top w:w="0" w:type="dxa"/>
        <w:left w:w="108" w:type="dxa"/>
        <w:bottom w:w="0" w:type="dxa"/>
        <w:right w:w="108" w:type="dxa"/>
      </w:tblCellMar>
    </w:tblPr>
  </w:style>
  <w:style w:type="numbering" w:default="1" w:styleId="NoList">
    <w:name w:val="No List"/>
    <w:semiHidden/>
    <w:rsid w:val="005A42E8"/>
  </w:style>
  <w:style w:type="paragraph" w:styleId="Header">
    <w:name w:val="header"/>
    <w:basedOn w:val="Normal"/>
    <w:rsid w:val="000903DC"/>
    <w:pPr>
      <w:tabs>
        <w:tab w:val="center" w:pos="3686"/>
        <w:tab w:val="right" w:pos="7371"/>
      </w:tabs>
    </w:pPr>
    <w:rPr>
      <w:sz w:val="18"/>
    </w:rPr>
  </w:style>
  <w:style w:type="paragraph" w:styleId="FootnoteText">
    <w:name w:val="footnote text"/>
    <w:basedOn w:val="Normal"/>
    <w:semiHidden/>
    <w:rsid w:val="000903DC"/>
    <w:pPr>
      <w:jc w:val="both"/>
    </w:pPr>
    <w:rPr>
      <w:sz w:val="20"/>
    </w:rPr>
  </w:style>
  <w:style w:type="paragraph" w:styleId="Footer">
    <w:name w:val="footer"/>
    <w:basedOn w:val="Normal"/>
    <w:rsid w:val="000903DC"/>
    <w:pPr>
      <w:tabs>
        <w:tab w:val="center" w:pos="3686"/>
        <w:tab w:val="right" w:pos="7371"/>
      </w:tabs>
    </w:pPr>
    <w:rPr>
      <w:sz w:val="18"/>
    </w:rPr>
  </w:style>
  <w:style w:type="character" w:styleId="PageNumber">
    <w:name w:val="page number"/>
    <w:rsid w:val="000903DC"/>
    <w:rPr>
      <w:rFonts w:ascii="Times New Roman" w:hAnsi="Times New Roman" w:cs="Times New Roman"/>
      <w:sz w:val="18"/>
    </w:rPr>
  </w:style>
  <w:style w:type="paragraph" w:customStyle="1" w:styleId="JuParaChar">
    <w:name w:val="Ju_Para Char"/>
    <w:basedOn w:val="Normal"/>
    <w:link w:val="JuParaCharChar"/>
    <w:rsid w:val="005A42E8"/>
    <w:pPr>
      <w:ind w:firstLine="284"/>
      <w:jc w:val="both"/>
    </w:pPr>
  </w:style>
  <w:style w:type="character" w:customStyle="1" w:styleId="JuParaCharChar">
    <w:name w:val="Ju_Para Char Char"/>
    <w:link w:val="JuParaChar"/>
    <w:rsid w:val="00226A7D"/>
    <w:rPr>
      <w:sz w:val="24"/>
      <w:lang w:val="fr-FR" w:eastAsia="fr-FR" w:bidi="ar-SA"/>
    </w:rPr>
  </w:style>
  <w:style w:type="character" w:styleId="FootnoteReference">
    <w:name w:val="footnote reference"/>
    <w:semiHidden/>
    <w:rsid w:val="000903DC"/>
    <w:rPr>
      <w:rFonts w:ascii="Times New Roman" w:hAnsi="Times New Roman" w:cs="Times New Roman"/>
      <w:vertAlign w:val="superscript"/>
    </w:rPr>
  </w:style>
  <w:style w:type="paragraph" w:customStyle="1" w:styleId="JuCase">
    <w:name w:val="Ju_Case"/>
    <w:basedOn w:val="JuPara"/>
    <w:next w:val="JuPara"/>
    <w:rsid w:val="000903DC"/>
    <w:rPr>
      <w:b/>
    </w:rPr>
  </w:style>
  <w:style w:type="paragraph" w:customStyle="1" w:styleId="JuPara">
    <w:name w:val="Ju_Para"/>
    <w:aliases w:val="Left,First line:  0 cm"/>
    <w:basedOn w:val="NormalTimesNewRoman"/>
    <w:rsid w:val="000903DC"/>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rsid w:val="000903DC"/>
    <w:pPr>
      <w:tabs>
        <w:tab w:val="left" w:pos="567"/>
        <w:tab w:val="left" w:pos="1134"/>
      </w:tabs>
    </w:pPr>
  </w:style>
  <w:style w:type="paragraph" w:customStyle="1" w:styleId="JuCourt">
    <w:name w:val="Ju_Court"/>
    <w:basedOn w:val="JuJudges"/>
    <w:rsid w:val="000903DC"/>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rsid w:val="000903DC"/>
    <w:pPr>
      <w:keepNext/>
      <w:keepLines/>
      <w:spacing w:before="720" w:after="240"/>
      <w:jc w:val="both"/>
      <w:outlineLvl w:val="0"/>
    </w:pPr>
    <w:rPr>
      <w:sz w:val="28"/>
    </w:rPr>
  </w:style>
  <w:style w:type="paragraph" w:customStyle="1" w:styleId="JuHIRoman">
    <w:name w:val="Ju_H_I_Roman"/>
    <w:basedOn w:val="JuHHead"/>
    <w:next w:val="JuPara"/>
    <w:rsid w:val="000903DC"/>
    <w:pPr>
      <w:tabs>
        <w:tab w:val="left" w:pos="357"/>
      </w:tabs>
      <w:spacing w:before="360"/>
      <w:ind w:left="357" w:hanging="357"/>
      <w:outlineLvl w:val="1"/>
    </w:pPr>
    <w:rPr>
      <w:sz w:val="24"/>
    </w:rPr>
  </w:style>
  <w:style w:type="paragraph" w:customStyle="1" w:styleId="JuHA">
    <w:name w:val="Ju_H_A"/>
    <w:basedOn w:val="JuHIRoman"/>
    <w:next w:val="JuPara"/>
    <w:rsid w:val="000903DC"/>
    <w:pPr>
      <w:tabs>
        <w:tab w:val="clear" w:pos="357"/>
        <w:tab w:val="left" w:pos="584"/>
      </w:tabs>
      <w:ind w:left="584" w:hanging="352"/>
      <w:outlineLvl w:val="2"/>
    </w:pPr>
    <w:rPr>
      <w:b/>
    </w:rPr>
  </w:style>
  <w:style w:type="paragraph" w:customStyle="1" w:styleId="JuHa0">
    <w:name w:val="Ju_H_a"/>
    <w:basedOn w:val="JuH1"/>
    <w:next w:val="JuPara"/>
    <w:rsid w:val="000903DC"/>
    <w:pPr>
      <w:tabs>
        <w:tab w:val="clear" w:pos="731"/>
        <w:tab w:val="left" w:pos="975"/>
      </w:tabs>
      <w:ind w:left="975" w:hanging="340"/>
      <w:outlineLvl w:val="4"/>
    </w:pPr>
    <w:rPr>
      <w:b/>
      <w:i w:val="0"/>
      <w:sz w:val="20"/>
    </w:rPr>
  </w:style>
  <w:style w:type="paragraph" w:customStyle="1" w:styleId="JuH1">
    <w:name w:val="Ju_H_1."/>
    <w:basedOn w:val="JuHA"/>
    <w:next w:val="JuPara"/>
    <w:rsid w:val="000903DC"/>
    <w:pPr>
      <w:tabs>
        <w:tab w:val="clear" w:pos="584"/>
        <w:tab w:val="left" w:pos="731"/>
      </w:tabs>
      <w:spacing w:before="240" w:after="120"/>
      <w:ind w:left="732" w:hanging="301"/>
      <w:outlineLvl w:val="3"/>
    </w:pPr>
    <w:rPr>
      <w:b w:val="0"/>
      <w:i/>
    </w:rPr>
  </w:style>
  <w:style w:type="paragraph" w:customStyle="1" w:styleId="JuHi">
    <w:name w:val="Ju_H_i"/>
    <w:basedOn w:val="JuHa0"/>
    <w:next w:val="JuPara"/>
    <w:rsid w:val="000903DC"/>
    <w:pPr>
      <w:tabs>
        <w:tab w:val="clear" w:pos="975"/>
        <w:tab w:val="left" w:pos="1191"/>
      </w:tabs>
      <w:ind w:left="1190" w:hanging="357"/>
      <w:outlineLvl w:val="5"/>
    </w:pPr>
    <w:rPr>
      <w:b w:val="0"/>
      <w:i/>
    </w:rPr>
  </w:style>
  <w:style w:type="paragraph" w:customStyle="1" w:styleId="JuHalpha">
    <w:name w:val="Ju_H_alpha"/>
    <w:basedOn w:val="JuHi"/>
    <w:next w:val="JuPara"/>
    <w:rsid w:val="000903DC"/>
    <w:pPr>
      <w:tabs>
        <w:tab w:val="clear" w:pos="1191"/>
        <w:tab w:val="left" w:pos="1372"/>
      </w:tabs>
      <w:ind w:left="1373" w:hanging="335"/>
      <w:outlineLvl w:val="9"/>
    </w:pPr>
    <w:rPr>
      <w:i w:val="0"/>
    </w:rPr>
  </w:style>
  <w:style w:type="paragraph" w:customStyle="1" w:styleId="JuH">
    <w:name w:val="Ju_H_–"/>
    <w:basedOn w:val="JuHalpha"/>
    <w:next w:val="JuPara"/>
    <w:rsid w:val="000903DC"/>
    <w:pPr>
      <w:tabs>
        <w:tab w:val="clear" w:pos="1372"/>
      </w:tabs>
      <w:ind w:left="1236" w:firstLine="0"/>
    </w:pPr>
    <w:rPr>
      <w:i/>
    </w:rPr>
  </w:style>
  <w:style w:type="paragraph" w:customStyle="1" w:styleId="JuHArticle">
    <w:name w:val="Ju_H_Article"/>
    <w:basedOn w:val="JuHa0"/>
    <w:next w:val="JuQuot"/>
    <w:rsid w:val="000903DC"/>
    <w:pPr>
      <w:ind w:left="0" w:firstLine="0"/>
      <w:jc w:val="center"/>
    </w:pPr>
  </w:style>
  <w:style w:type="paragraph" w:customStyle="1" w:styleId="JuQuot">
    <w:name w:val="Ju_Quot"/>
    <w:basedOn w:val="JuPara"/>
    <w:link w:val="JuQuotChar"/>
    <w:rsid w:val="000903DC"/>
    <w:pPr>
      <w:spacing w:before="120" w:after="120"/>
      <w:ind w:left="425" w:firstLine="142"/>
    </w:pPr>
    <w:rPr>
      <w:sz w:val="20"/>
    </w:rPr>
  </w:style>
  <w:style w:type="paragraph" w:customStyle="1" w:styleId="JuHeader">
    <w:name w:val="Ju_Header"/>
    <w:basedOn w:val="Header"/>
    <w:rsid w:val="000903DC"/>
  </w:style>
  <w:style w:type="paragraph" w:customStyle="1" w:styleId="JuSigned">
    <w:name w:val="Ju_Signed"/>
    <w:basedOn w:val="NormalTimesNewRoman"/>
    <w:next w:val="JuParaLast"/>
    <w:rsid w:val="000903DC"/>
    <w:pPr>
      <w:tabs>
        <w:tab w:val="center" w:pos="851"/>
        <w:tab w:val="center" w:pos="6407"/>
      </w:tabs>
      <w:spacing w:before="720"/>
    </w:pPr>
  </w:style>
  <w:style w:type="paragraph" w:customStyle="1" w:styleId="JuParaLast">
    <w:name w:val="Ju_Para_Last"/>
    <w:basedOn w:val="JuPara"/>
    <w:next w:val="JuPara"/>
    <w:link w:val="JuParaLastChar"/>
    <w:rsid w:val="000903DC"/>
    <w:pPr>
      <w:keepNext/>
      <w:keepLines/>
      <w:spacing w:before="240"/>
    </w:pPr>
  </w:style>
  <w:style w:type="paragraph" w:customStyle="1" w:styleId="JuInitialled">
    <w:name w:val="Ju_Initialled"/>
    <w:basedOn w:val="JuSigned"/>
    <w:rsid w:val="000903DC"/>
    <w:pPr>
      <w:tabs>
        <w:tab w:val="clear" w:pos="851"/>
      </w:tabs>
      <w:jc w:val="right"/>
    </w:pPr>
  </w:style>
  <w:style w:type="paragraph" w:customStyle="1" w:styleId="JuList">
    <w:name w:val="Ju_List"/>
    <w:basedOn w:val="JuPara"/>
    <w:rsid w:val="000903DC"/>
    <w:pPr>
      <w:ind w:left="340" w:hanging="340"/>
    </w:pPr>
  </w:style>
  <w:style w:type="paragraph" w:customStyle="1" w:styleId="JuLista">
    <w:name w:val="Ju_List_a"/>
    <w:basedOn w:val="JuList"/>
    <w:rsid w:val="000903DC"/>
    <w:pPr>
      <w:ind w:left="346" w:firstLine="0"/>
    </w:pPr>
  </w:style>
  <w:style w:type="paragraph" w:customStyle="1" w:styleId="JuListi">
    <w:name w:val="Ju_List_i"/>
    <w:basedOn w:val="JuLista"/>
    <w:rsid w:val="000903DC"/>
    <w:pPr>
      <w:ind w:left="794"/>
    </w:pPr>
  </w:style>
  <w:style w:type="paragraph" w:styleId="DocumentMap">
    <w:name w:val="Document Map"/>
    <w:basedOn w:val="Normal"/>
    <w:semiHidden/>
    <w:rsid w:val="0011604E"/>
    <w:pPr>
      <w:shd w:val="clear" w:color="auto" w:fill="000080"/>
    </w:pPr>
    <w:rPr>
      <w:rFonts w:ascii="Tahoma" w:hAnsi="Tahoma" w:cs="Tahoma"/>
      <w:sz w:val="20"/>
    </w:rPr>
  </w:style>
  <w:style w:type="paragraph" w:customStyle="1" w:styleId="OpiParaSub">
    <w:name w:val="Opi_Para_Sub"/>
    <w:basedOn w:val="JuParaSub"/>
    <w:rsid w:val="00A95342"/>
  </w:style>
  <w:style w:type="paragraph" w:customStyle="1" w:styleId="JuParaSub">
    <w:name w:val="Ju_Para_Sub"/>
    <w:basedOn w:val="JuPara"/>
    <w:rsid w:val="000903DC"/>
    <w:pPr>
      <w:ind w:left="284"/>
    </w:pPr>
  </w:style>
  <w:style w:type="paragraph" w:customStyle="1" w:styleId="OpiHA">
    <w:name w:val="Opi_H_A"/>
    <w:basedOn w:val="JuHIRoman"/>
    <w:next w:val="OpiPara"/>
    <w:rsid w:val="00A95342"/>
    <w:pPr>
      <w:tabs>
        <w:tab w:val="clear" w:pos="357"/>
      </w:tabs>
    </w:pPr>
    <w:rPr>
      <w:b/>
    </w:rPr>
  </w:style>
  <w:style w:type="paragraph" w:customStyle="1" w:styleId="OpiPara">
    <w:name w:val="Opi_Para"/>
    <w:basedOn w:val="JuPara"/>
    <w:rsid w:val="00A95342"/>
  </w:style>
  <w:style w:type="paragraph" w:customStyle="1" w:styleId="OpiH1">
    <w:name w:val="Opi_H_1."/>
    <w:basedOn w:val="OpiHA"/>
    <w:next w:val="OpiPara"/>
    <w:rsid w:val="00A95342"/>
    <w:pPr>
      <w:spacing w:before="240" w:after="120"/>
      <w:ind w:left="635"/>
      <w:outlineLvl w:val="2"/>
    </w:pPr>
    <w:rPr>
      <w:b w:val="0"/>
      <w:i/>
    </w:rPr>
  </w:style>
  <w:style w:type="paragraph" w:customStyle="1" w:styleId="OpiHa0">
    <w:name w:val="Opi_H_a"/>
    <w:basedOn w:val="OpiH1"/>
    <w:next w:val="OpiPara"/>
    <w:rsid w:val="00A95342"/>
    <w:pPr>
      <w:ind w:left="833"/>
      <w:outlineLvl w:val="3"/>
    </w:pPr>
    <w:rPr>
      <w:b/>
      <w:i w:val="0"/>
      <w:sz w:val="20"/>
    </w:rPr>
  </w:style>
  <w:style w:type="paragraph" w:customStyle="1" w:styleId="OpiHHead">
    <w:name w:val="Opi_H_Head"/>
    <w:basedOn w:val="JuHHead"/>
    <w:next w:val="OpiPara"/>
    <w:rsid w:val="00A95342"/>
    <w:pPr>
      <w:spacing w:before="0"/>
      <w:jc w:val="center"/>
    </w:pPr>
  </w:style>
  <w:style w:type="paragraph" w:customStyle="1" w:styleId="OpiHi">
    <w:name w:val="Opi_H_i"/>
    <w:basedOn w:val="OpiHa0"/>
    <w:next w:val="OpiPara"/>
    <w:rsid w:val="00A95342"/>
    <w:pPr>
      <w:ind w:left="1037"/>
      <w:outlineLvl w:val="4"/>
    </w:pPr>
    <w:rPr>
      <w:b w:val="0"/>
      <w:i/>
    </w:rPr>
  </w:style>
  <w:style w:type="paragraph" w:customStyle="1" w:styleId="OpiQuot">
    <w:name w:val="Opi_Quot"/>
    <w:basedOn w:val="JuQuot"/>
    <w:rsid w:val="00A95342"/>
  </w:style>
  <w:style w:type="paragraph" w:customStyle="1" w:styleId="OpiTranslation">
    <w:name w:val="Opi_Translation"/>
    <w:basedOn w:val="OpiHHead"/>
    <w:next w:val="OpiPara"/>
    <w:rsid w:val="00A95342"/>
    <w:rPr>
      <w:i/>
      <w:sz w:val="24"/>
    </w:rPr>
  </w:style>
  <w:style w:type="paragraph" w:customStyle="1" w:styleId="DecHTitle">
    <w:name w:val="Dec_H_Title"/>
    <w:basedOn w:val="Normal"/>
    <w:rsid w:val="0027093D"/>
    <w:pPr>
      <w:suppressAutoHyphens w:val="0"/>
      <w:spacing w:after="240"/>
      <w:jc w:val="center"/>
      <w:outlineLvl w:val="0"/>
    </w:pPr>
    <w:rPr>
      <w:sz w:val="28"/>
    </w:rPr>
  </w:style>
  <w:style w:type="paragraph" w:customStyle="1" w:styleId="DecHCase">
    <w:name w:val="Dec_H_Case"/>
    <w:basedOn w:val="DecHTitle"/>
    <w:next w:val="JuPara"/>
    <w:rsid w:val="00A95342"/>
    <w:rPr>
      <w:sz w:val="24"/>
    </w:rPr>
  </w:style>
  <w:style w:type="paragraph" w:customStyle="1" w:styleId="DecList">
    <w:name w:val="Dec_List"/>
    <w:basedOn w:val="Normal"/>
    <w:rsid w:val="0027093D"/>
    <w:pPr>
      <w:spacing w:before="240"/>
      <w:ind w:left="284"/>
      <w:jc w:val="both"/>
    </w:pPr>
  </w:style>
  <w:style w:type="paragraph" w:customStyle="1" w:styleId="JuQuotSub">
    <w:name w:val="Ju_Quot_Sub"/>
    <w:basedOn w:val="JuQuot"/>
    <w:rsid w:val="000903DC"/>
    <w:pPr>
      <w:ind w:left="567"/>
    </w:pPr>
  </w:style>
  <w:style w:type="paragraph" w:customStyle="1" w:styleId="SuCoverTitle1">
    <w:name w:val="Su_Cover_Title1"/>
    <w:basedOn w:val="Normal"/>
    <w:next w:val="SuCoverTitle2"/>
    <w:rsid w:val="0027093D"/>
    <w:pPr>
      <w:spacing w:before="2500"/>
      <w:jc w:val="center"/>
    </w:pPr>
    <w:rPr>
      <w:sz w:val="22"/>
    </w:rPr>
  </w:style>
  <w:style w:type="paragraph" w:customStyle="1" w:styleId="SuCoverTitle2">
    <w:name w:val="Su_Cover_Title2"/>
    <w:basedOn w:val="SuCoverTitle1"/>
    <w:next w:val="Normal"/>
    <w:rsid w:val="001D1FA9"/>
    <w:pPr>
      <w:spacing w:before="240"/>
    </w:pPr>
    <w:rPr>
      <w:sz w:val="18"/>
    </w:rPr>
  </w:style>
  <w:style w:type="paragraph" w:customStyle="1" w:styleId="SuPara">
    <w:name w:val="Su_Para"/>
    <w:basedOn w:val="SuKeywords"/>
    <w:rsid w:val="001D1FA9"/>
    <w:pPr>
      <w:spacing w:before="0" w:after="0"/>
    </w:pPr>
    <w:rPr>
      <w:i w:val="0"/>
    </w:rPr>
  </w:style>
  <w:style w:type="paragraph" w:customStyle="1" w:styleId="SuKeywords">
    <w:name w:val="Su_Keywords"/>
    <w:basedOn w:val="SuHHead"/>
    <w:rsid w:val="001D1FA9"/>
    <w:pPr>
      <w:spacing w:before="120"/>
    </w:pPr>
    <w:rPr>
      <w:b w:val="0"/>
      <w:i/>
    </w:rPr>
  </w:style>
  <w:style w:type="paragraph" w:customStyle="1" w:styleId="SuHHead">
    <w:name w:val="Su_H_Head"/>
    <w:basedOn w:val="SuSubject"/>
    <w:rsid w:val="001D1FA9"/>
    <w:pPr>
      <w:spacing w:after="120"/>
    </w:pPr>
  </w:style>
  <w:style w:type="paragraph" w:customStyle="1" w:styleId="SuSubject">
    <w:name w:val="Su_Subject"/>
    <w:basedOn w:val="SuSummary"/>
    <w:rsid w:val="001D1FA9"/>
    <w:pPr>
      <w:suppressAutoHyphens w:val="0"/>
      <w:spacing w:before="360"/>
      <w:jc w:val="both"/>
    </w:pPr>
    <w:rPr>
      <w:b/>
      <w:sz w:val="22"/>
      <w:lang w:val="en-GB"/>
    </w:rPr>
  </w:style>
  <w:style w:type="paragraph" w:customStyle="1" w:styleId="SuSummary">
    <w:name w:val="Su_Summary"/>
    <w:basedOn w:val="Normal"/>
    <w:next w:val="SuSubject"/>
    <w:rsid w:val="0027093D"/>
    <w:pPr>
      <w:spacing w:after="240"/>
      <w:jc w:val="center"/>
    </w:pPr>
  </w:style>
  <w:style w:type="paragraph" w:styleId="BalloonText">
    <w:name w:val="Balloon Text"/>
    <w:basedOn w:val="Normal"/>
    <w:semiHidden/>
    <w:rsid w:val="002712D0"/>
    <w:rPr>
      <w:rFonts w:ascii="Tahoma" w:hAnsi="Tahoma" w:cs="Tahoma"/>
      <w:sz w:val="16"/>
      <w:szCs w:val="16"/>
    </w:rPr>
  </w:style>
  <w:style w:type="character" w:styleId="EndnoteReference">
    <w:name w:val="endnote reference"/>
    <w:semiHidden/>
    <w:rsid w:val="000903DC"/>
    <w:rPr>
      <w:rFonts w:ascii="Times New Roman" w:hAnsi="Times New Roman" w:cs="Times New Roman"/>
      <w:vertAlign w:val="superscript"/>
    </w:rPr>
  </w:style>
  <w:style w:type="paragraph" w:styleId="EndnoteText">
    <w:name w:val="endnote text"/>
    <w:basedOn w:val="Normal"/>
    <w:semiHidden/>
    <w:rsid w:val="000903DC"/>
    <w:rPr>
      <w:sz w:val="20"/>
    </w:rPr>
  </w:style>
  <w:style w:type="character" w:styleId="FollowedHyperlink">
    <w:name w:val="FollowedHyperlink"/>
    <w:rsid w:val="000903DC"/>
    <w:rPr>
      <w:rFonts w:ascii="Times New Roman" w:hAnsi="Times New Roman" w:cs="Times New Roman"/>
      <w:color w:val="800080"/>
      <w:u w:val="single"/>
    </w:rPr>
  </w:style>
  <w:style w:type="character" w:styleId="Hyperlink">
    <w:name w:val="Hyperlink"/>
    <w:rsid w:val="000903DC"/>
    <w:rPr>
      <w:rFonts w:ascii="Times New Roman" w:hAnsi="Times New Roman" w:cs="Times New Roman"/>
      <w:color w:val="0000FF"/>
      <w:u w:val="single"/>
    </w:rPr>
  </w:style>
  <w:style w:type="paragraph" w:customStyle="1" w:styleId="OpiQuotSub">
    <w:name w:val="Opi_Quot_Sub"/>
    <w:basedOn w:val="JuQuotSub"/>
    <w:rsid w:val="00A95342"/>
  </w:style>
  <w:style w:type="paragraph" w:customStyle="1" w:styleId="JuAppQuestion">
    <w:name w:val="Ju_App_Question"/>
    <w:basedOn w:val="ListBullet"/>
    <w:rsid w:val="000903DC"/>
    <w:pPr>
      <w:numPr>
        <w:numId w:val="4"/>
      </w:numPr>
      <w:suppressAutoHyphens w:val="0"/>
    </w:pPr>
    <w:rPr>
      <w:b/>
      <w:color w:val="333333"/>
      <w:lang w:val="en-GB"/>
    </w:rPr>
  </w:style>
  <w:style w:type="paragraph" w:styleId="ListBullet">
    <w:name w:val="List Bullet"/>
    <w:basedOn w:val="Normal"/>
    <w:rsid w:val="001D1FA9"/>
    <w:pPr>
      <w:numPr>
        <w:numId w:val="1"/>
      </w:numPr>
    </w:pPr>
  </w:style>
  <w:style w:type="character" w:customStyle="1" w:styleId="JuNames">
    <w:name w:val="Ju_Names"/>
    <w:rsid w:val="000903DC"/>
    <w:rPr>
      <w:rFonts w:ascii="Times New Roman" w:hAnsi="Times New Roman" w:cs="Times New Roman"/>
      <w:smallCaps/>
    </w:rPr>
  </w:style>
  <w:style w:type="character" w:customStyle="1" w:styleId="JuITMark">
    <w:name w:val="Ju_ITMark"/>
    <w:rsid w:val="000903DC"/>
    <w:rPr>
      <w:rFonts w:ascii="Times New Roman" w:hAnsi="Times New Roman" w:cs="Times New Roman"/>
      <w:vanish/>
      <w:color w:val="339966"/>
      <w:sz w:val="16"/>
      <w:szCs w:val="16"/>
      <w:lang w:val="fi-FI"/>
    </w:rPr>
  </w:style>
  <w:style w:type="character" w:customStyle="1" w:styleId="JuHHeadChar">
    <w:name w:val="Ju_H_Head Char"/>
    <w:link w:val="JuHHead"/>
    <w:rsid w:val="002E7061"/>
    <w:rPr>
      <w:sz w:val="28"/>
      <w:lang w:val="fr-FR" w:eastAsia="fr-FR" w:bidi="ar-SA"/>
    </w:rPr>
  </w:style>
  <w:style w:type="character" w:customStyle="1" w:styleId="DefaultTimesNewRoman">
    <w:name w:val="Default_TimesNewRoman"/>
    <w:rsid w:val="000903DC"/>
    <w:rPr>
      <w:rFonts w:ascii="Times New Roman" w:hAnsi="Times New Roman" w:cs="Times New Roman"/>
    </w:rPr>
  </w:style>
  <w:style w:type="paragraph" w:customStyle="1" w:styleId="NormalTimesNewRoman">
    <w:name w:val="Normal_TimesNewRoman"/>
    <w:rsid w:val="000903DC"/>
    <w:rPr>
      <w:sz w:val="24"/>
      <w:lang w:val="fr-FR" w:eastAsia="fr-FR"/>
    </w:rPr>
  </w:style>
  <w:style w:type="paragraph" w:customStyle="1" w:styleId="JuTitle">
    <w:name w:val="Ju_Title"/>
    <w:basedOn w:val="JuHHead"/>
    <w:next w:val="JuPara"/>
    <w:link w:val="JuTitleChar"/>
    <w:rsid w:val="000903DC"/>
    <w:pPr>
      <w:jc w:val="center"/>
    </w:pPr>
    <w:rPr>
      <w:b/>
      <w:caps/>
      <w:sz w:val="24"/>
      <w:szCs w:val="24"/>
      <w:u w:val="single"/>
    </w:rPr>
  </w:style>
  <w:style w:type="character" w:customStyle="1" w:styleId="JuTitleChar">
    <w:name w:val="Ju_Title Char"/>
    <w:link w:val="JuTitle"/>
    <w:rsid w:val="00407DAE"/>
    <w:rPr>
      <w:b/>
      <w:caps/>
      <w:sz w:val="24"/>
      <w:szCs w:val="24"/>
      <w:u w:val="single"/>
      <w:lang w:val="fr-FR" w:eastAsia="fr-FR" w:bidi="ar-SA"/>
    </w:rPr>
  </w:style>
  <w:style w:type="character" w:customStyle="1" w:styleId="JuParaLastChar">
    <w:name w:val="Ju_Para_Last Char"/>
    <w:link w:val="JuParaLast"/>
    <w:rsid w:val="00183007"/>
    <w:rPr>
      <w:sz w:val="24"/>
      <w:lang w:val="fr-FR" w:eastAsia="fr-FR"/>
    </w:rPr>
  </w:style>
  <w:style w:type="character" w:customStyle="1" w:styleId="sb8d990e2">
    <w:name w:val="sb8d990e2"/>
    <w:rsid w:val="00183007"/>
  </w:style>
  <w:style w:type="character" w:customStyle="1" w:styleId="s6b621b36">
    <w:name w:val="s6b621b36"/>
    <w:rsid w:val="00183007"/>
  </w:style>
  <w:style w:type="character" w:customStyle="1" w:styleId="JuQuotChar">
    <w:name w:val="Ju_Quot Char"/>
    <w:link w:val="JuQuot"/>
    <w:rsid w:val="00183007"/>
    <w:rPr>
      <w:lang w:val="fr-FR" w:eastAsia="fr-FR"/>
    </w:rPr>
  </w:style>
  <w:style w:type="character" w:customStyle="1" w:styleId="wordhighlightedcurrentterm">
    <w:name w:val="wordhighlighted currentterm"/>
    <w:rsid w:val="0018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8B9D2F-BD0A-426A-B17A-605C955C6635}">
  <ds:schemaRefs>
    <ds:schemaRef ds:uri="http://schemas.microsoft.com/sharepoint/v3/contenttype/forms"/>
  </ds:schemaRefs>
</ds:datastoreItem>
</file>

<file path=customXml/itemProps2.xml><?xml version="1.0" encoding="utf-8"?>
<ds:datastoreItem xmlns:ds="http://schemas.openxmlformats.org/officeDocument/2006/customXml" ds:itemID="{09C0114A-AC6E-4BA1-8FB6-7B8EAAF91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cp:lastModifiedBy/>
  <cp:revision>1</cp:revision>
  <cp:lastPrinted>2005-12-21T06:57:00Z</cp:lastPrinted>
  <dcterms:created xsi:type="dcterms:W3CDTF">2013-06-03T14:25:00Z</dcterms:created>
  <dcterms:modified xsi:type="dcterms:W3CDTF">2013-06-03T14:25:00Z</dcterms:modified>
  <cp:category>ECHR Template</cp:category>
</cp:coreProperties>
</file>